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5"/>
        </w:trPr>
        <w:tc>
          <w:tcPr>
            <w:tcW w:w="2460" w:type="dxa"/>
            <w:vAlign w:val="bottom"/>
          </w:tcPr>
          <w:p>
            <w:pPr>
              <w:spacing w:after="0"/>
              <w:rPr>
                <w:sz w:val="22"/>
                <w:szCs w:val="22"/>
                <w:color w:val="auto"/>
              </w:rPr>
            </w:pPr>
          </w:p>
        </w:tc>
        <w:tc>
          <w:tcPr>
            <w:tcW w:w="7720" w:type="dxa"/>
            <w:vAlign w:val="bottom"/>
            <w:gridSpan w:val="2"/>
          </w:tcPr>
          <w:p>
            <w:pPr>
              <w:jc w:val="center"/>
              <w:ind w:right="1296"/>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7720" w:type="dxa"/>
            <w:vAlign w:val="bottom"/>
            <w:gridSpan w:val="2"/>
          </w:tcPr>
          <w:p>
            <w:pPr>
              <w:jc w:val="center"/>
              <w:ind w:right="1316"/>
              <w:spacing w:after="0" w:line="238" w:lineRule="exact"/>
              <w:rPr>
                <w:sz w:val="20"/>
                <w:szCs w:val="20"/>
                <w:color w:val="auto"/>
              </w:rPr>
            </w:pPr>
            <w:r>
              <w:rPr>
                <w:rFonts w:ascii="Arial" w:cs="Arial" w:eastAsia="Arial" w:hAnsi="Arial"/>
                <w:sz w:val="21"/>
                <w:szCs w:val="21"/>
                <w:b w:val="1"/>
                <w:bCs w:val="1"/>
                <w:color w:val="auto"/>
              </w:rPr>
              <w:t>WASHINGTON, D.C. 20549</w:t>
            </w:r>
          </w:p>
        </w:tc>
        <w:tc>
          <w:tcPr>
            <w:tcW w:w="0" w:type="dxa"/>
            <w:vAlign w:val="bottom"/>
          </w:tcPr>
          <w:p>
            <w:pPr>
              <w:spacing w:after="0"/>
              <w:rPr>
                <w:sz w:val="1"/>
                <w:szCs w:val="1"/>
                <w:color w:val="auto"/>
              </w:rPr>
            </w:pPr>
          </w:p>
        </w:tc>
      </w:tr>
      <w:tr>
        <w:trPr>
          <w:trHeight w:val="428"/>
        </w:trPr>
        <w:tc>
          <w:tcPr>
            <w:tcW w:w="2460" w:type="dxa"/>
            <w:vAlign w:val="bottom"/>
          </w:tcPr>
          <w:p>
            <w:pPr>
              <w:spacing w:after="0"/>
              <w:rPr>
                <w:sz w:val="24"/>
                <w:szCs w:val="24"/>
                <w:color w:val="auto"/>
              </w:rPr>
            </w:pPr>
          </w:p>
        </w:tc>
        <w:tc>
          <w:tcPr>
            <w:tcW w:w="4300" w:type="dxa"/>
            <w:vAlign w:val="bottom"/>
          </w:tcPr>
          <w:p>
            <w:pPr>
              <w:jc w:val="center"/>
              <w:ind w:left="1933"/>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60" w:type="dxa"/>
            <w:vAlign w:val="bottom"/>
          </w:tcPr>
          <w:p>
            <w:pPr>
              <w:spacing w:after="0"/>
              <w:rPr>
                <w:sz w:val="20"/>
                <w:szCs w:val="20"/>
                <w:color w:val="auto"/>
              </w:rPr>
            </w:pPr>
            <w:r>
              <w:rPr>
                <w:rFonts w:ascii="Arial" w:cs="Arial" w:eastAsia="Arial" w:hAnsi="Arial"/>
                <w:sz w:val="14"/>
                <w:szCs w:val="14"/>
                <w:color w:val="auto"/>
              </w:rPr>
              <w:t>(Mark One)</w:t>
            </w:r>
          </w:p>
        </w:tc>
        <w:tc>
          <w:tcPr>
            <w:tcW w:w="4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4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720" w:type="dxa"/>
            <w:vAlign w:val="bottom"/>
            <w:gridSpan w:val="2"/>
          </w:tcPr>
          <w:p>
            <w:pPr>
              <w:jc w:val="center"/>
              <w:ind w:right="137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7720" w:type="dxa"/>
            <w:vAlign w:val="bottom"/>
            <w:gridSpan w:val="2"/>
          </w:tcPr>
          <w:p>
            <w:pPr>
              <w:jc w:val="center"/>
              <w:ind w:right="137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7720" w:type="dxa"/>
            <w:vAlign w:val="bottom"/>
            <w:gridSpan w:val="2"/>
          </w:tcPr>
          <w:p>
            <w:pPr>
              <w:ind w:left="1000"/>
              <w:spacing w:after="0"/>
              <w:rPr>
                <w:sz w:val="20"/>
                <w:szCs w:val="20"/>
                <w:color w:val="auto"/>
              </w:rPr>
            </w:pPr>
            <w:r>
              <w:rPr>
                <w:rFonts w:ascii="Arial" w:cs="Arial" w:eastAsia="Arial" w:hAnsi="Arial"/>
                <w:sz w:val="18"/>
                <w:szCs w:val="18"/>
                <w:b w:val="1"/>
                <w:bCs w:val="1"/>
                <w:color w:val="auto"/>
              </w:rPr>
              <w:t>For the fiscal year ended December 31, 2021</w:t>
            </w:r>
          </w:p>
        </w:tc>
        <w:tc>
          <w:tcPr>
            <w:tcW w:w="0" w:type="dxa"/>
            <w:vAlign w:val="bottom"/>
          </w:tcPr>
          <w:p>
            <w:pPr>
              <w:spacing w:after="0"/>
              <w:rPr>
                <w:sz w:val="1"/>
                <w:szCs w:val="1"/>
                <w:color w:val="auto"/>
              </w:rPr>
            </w:pPr>
          </w:p>
        </w:tc>
      </w:tr>
      <w:tr>
        <w:trPr>
          <w:trHeight w:val="228"/>
        </w:trPr>
        <w:tc>
          <w:tcPr>
            <w:tcW w:w="246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jc w:val="center"/>
              <w:ind w:left="1853"/>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60" w:type="dxa"/>
            <w:vAlign w:val="bottom"/>
            <w:vMerge w:val="continue"/>
          </w:tcPr>
          <w:p>
            <w:pPr>
              <w:spacing w:after="0"/>
              <w:rPr>
                <w:sz w:val="16"/>
                <w:szCs w:val="16"/>
                <w:color w:val="auto"/>
              </w:rPr>
            </w:pPr>
          </w:p>
        </w:tc>
        <w:tc>
          <w:tcPr>
            <w:tcW w:w="7720" w:type="dxa"/>
            <w:vAlign w:val="bottom"/>
            <w:gridSpan w:val="2"/>
          </w:tcPr>
          <w:p>
            <w:pPr>
              <w:jc w:val="center"/>
              <w:ind w:right="1376"/>
              <w:spacing w:after="0" w:line="184"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7720" w:type="dxa"/>
            <w:vAlign w:val="bottom"/>
            <w:gridSpan w:val="2"/>
          </w:tcPr>
          <w:p>
            <w:pPr>
              <w:jc w:val="center"/>
              <w:ind w:right="137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00"/>
        </w:trPr>
        <w:tc>
          <w:tcPr>
            <w:tcW w:w="2460" w:type="dxa"/>
            <w:vAlign w:val="bottom"/>
          </w:tcPr>
          <w:p>
            <w:pPr>
              <w:spacing w:after="0"/>
              <w:rPr>
                <w:sz w:val="24"/>
                <w:szCs w:val="24"/>
                <w:color w:val="auto"/>
              </w:rPr>
            </w:pPr>
          </w:p>
        </w:tc>
        <w:tc>
          <w:tcPr>
            <w:tcW w:w="4300" w:type="dxa"/>
            <w:vAlign w:val="bottom"/>
          </w:tcPr>
          <w:p>
            <w:pPr>
              <w:ind w:left="134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69"/>
        </w:trPr>
        <w:tc>
          <w:tcPr>
            <w:tcW w:w="2460" w:type="dxa"/>
            <w:vAlign w:val="bottom"/>
          </w:tcPr>
          <w:p>
            <w:pPr>
              <w:spacing w:after="0"/>
              <w:rPr>
                <w:sz w:val="23"/>
                <w:szCs w:val="23"/>
                <w:color w:val="auto"/>
              </w:rPr>
            </w:pPr>
          </w:p>
        </w:tc>
        <w:tc>
          <w:tcPr>
            <w:tcW w:w="7720" w:type="dxa"/>
            <w:vAlign w:val="bottom"/>
            <w:gridSpan w:val="2"/>
          </w:tcPr>
          <w:p>
            <w:pPr>
              <w:jc w:val="center"/>
              <w:ind w:right="1296"/>
              <w:spacing w:after="0"/>
              <w:rPr>
                <w:sz w:val="20"/>
                <w:szCs w:val="20"/>
                <w:color w:val="auto"/>
              </w:rPr>
            </w:pPr>
            <w:r>
              <w:rPr>
                <w:rFonts w:ascii="Arial" w:cs="Arial" w:eastAsia="Arial" w:hAnsi="Arial"/>
                <w:sz w:val="18"/>
                <w:szCs w:val="18"/>
                <w:b w:val="1"/>
                <w:bCs w:val="1"/>
                <w:color w:val="auto"/>
                <w:w w:val="99"/>
              </w:rPr>
              <w:t>Commission file number: 1-35229</w:t>
            </w:r>
          </w:p>
        </w:tc>
        <w:tc>
          <w:tcPr>
            <w:tcW w:w="0" w:type="dxa"/>
            <w:vAlign w:val="bottom"/>
          </w:tcPr>
          <w:p>
            <w:pPr>
              <w:spacing w:after="0"/>
              <w:rPr>
                <w:sz w:val="1"/>
                <w:szCs w:val="1"/>
                <w:color w:val="auto"/>
              </w:rPr>
            </w:pPr>
          </w:p>
        </w:tc>
      </w:tr>
      <w:tr>
        <w:trPr>
          <w:trHeight w:val="545"/>
        </w:trPr>
        <w:tc>
          <w:tcPr>
            <w:tcW w:w="2460" w:type="dxa"/>
            <w:vAlign w:val="bottom"/>
          </w:tcPr>
          <w:p>
            <w:pPr>
              <w:spacing w:after="0"/>
              <w:rPr>
                <w:sz w:val="24"/>
                <w:szCs w:val="24"/>
                <w:color w:val="auto"/>
              </w:rPr>
            </w:pPr>
          </w:p>
        </w:tc>
        <w:tc>
          <w:tcPr>
            <w:tcW w:w="4300" w:type="dxa"/>
            <w:vAlign w:val="bottom"/>
          </w:tcPr>
          <w:p>
            <w:pPr>
              <w:jc w:val="center"/>
              <w:ind w:left="1913"/>
              <w:spacing w:after="0"/>
              <w:rPr>
                <w:sz w:val="20"/>
                <w:szCs w:val="20"/>
                <w:color w:val="auto"/>
              </w:rPr>
            </w:pPr>
            <w:r>
              <w:rPr>
                <w:rFonts w:ascii="Arial" w:cs="Arial" w:eastAsia="Arial" w:hAnsi="Arial"/>
                <w:sz w:val="43"/>
                <w:szCs w:val="43"/>
                <w:b w:val="1"/>
                <w:bCs w:val="1"/>
                <w:color w:val="auto"/>
                <w:w w:val="99"/>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7720" w:type="dxa"/>
            <w:vAlign w:val="bottom"/>
            <w:gridSpan w:val="2"/>
          </w:tcPr>
          <w:p>
            <w:pPr>
              <w:jc w:val="center"/>
              <w:ind w:right="131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49"/>
        </w:trPr>
        <w:tc>
          <w:tcPr>
            <w:tcW w:w="2460" w:type="dxa"/>
            <w:vAlign w:val="bottom"/>
          </w:tcPr>
          <w:p>
            <w:pPr>
              <w:jc w:val="center"/>
              <w:ind w:left="1759"/>
              <w:spacing w:after="0"/>
              <w:rPr>
                <w:sz w:val="20"/>
                <w:szCs w:val="20"/>
                <w:color w:val="auto"/>
              </w:rPr>
            </w:pPr>
            <w:r>
              <w:rPr>
                <w:rFonts w:ascii="Arial" w:cs="Arial" w:eastAsia="Arial" w:hAnsi="Arial"/>
                <w:sz w:val="18"/>
                <w:szCs w:val="18"/>
                <w:b w:val="1"/>
                <w:bCs w:val="1"/>
                <w:color w:val="auto"/>
                <w:w w:val="98"/>
              </w:rPr>
              <w:t>Indiana</w:t>
            </w:r>
          </w:p>
        </w:tc>
        <w:tc>
          <w:tcPr>
            <w:tcW w:w="430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53"/>
              <w:spacing w:after="0" w:line="147"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7"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6"/>
        </w:trPr>
        <w:tc>
          <w:tcPr>
            <w:tcW w:w="6760" w:type="dxa"/>
            <w:vAlign w:val="bottom"/>
            <w:gridSpan w:val="2"/>
          </w:tcPr>
          <w:p>
            <w:pPr>
              <w:jc w:val="center"/>
              <w:ind w:right="2353"/>
              <w:spacing w:after="0"/>
              <w:rPr>
                <w:sz w:val="20"/>
                <w:szCs w:val="20"/>
                <w:color w:val="auto"/>
              </w:rPr>
            </w:pPr>
            <w:r>
              <w:rPr>
                <w:rFonts w:ascii="Arial" w:cs="Arial" w:eastAsia="Arial" w:hAnsi="Arial"/>
                <w:sz w:val="14"/>
                <w:szCs w:val="14"/>
                <w:i w:val="1"/>
                <w:iCs w:val="1"/>
                <w:color w:val="auto"/>
              </w:rPr>
              <w:t>organization)</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8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3"/>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80" w:type="dxa"/>
            <w:vAlign w:val="bottom"/>
          </w:tcPr>
          <w:p>
            <w:pPr>
              <w:jc w:val="center"/>
              <w:ind w:left="8"/>
              <w:spacing w:after="0"/>
              <w:rPr>
                <w:sz w:val="20"/>
                <w:szCs w:val="20"/>
                <w:color w:val="auto"/>
              </w:rPr>
            </w:pPr>
            <w:r>
              <w:rPr>
                <w:rFonts w:ascii="Arial" w:cs="Arial" w:eastAsia="Arial" w:hAnsi="Arial"/>
                <w:sz w:val="14"/>
                <w:szCs w:val="14"/>
                <w:color w:val="auto"/>
              </w:rPr>
              <w:t>XYL</w:t>
            </w:r>
          </w:p>
        </w:tc>
        <w:tc>
          <w:tcPr>
            <w:tcW w:w="43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r>
        <w:trPr>
          <w:trHeight w:val="188"/>
        </w:trPr>
        <w:tc>
          <w:tcPr>
            <w:tcW w:w="4240" w:type="dxa"/>
            <w:vAlign w:val="bottom"/>
          </w:tcPr>
          <w:p>
            <w:pPr>
              <w:jc w:val="center"/>
              <w:spacing w:after="0"/>
              <w:rPr>
                <w:sz w:val="20"/>
                <w:szCs w:val="20"/>
                <w:color w:val="auto"/>
              </w:rPr>
            </w:pPr>
            <w:r>
              <w:rPr>
                <w:rFonts w:ascii="Arial" w:cs="Arial" w:eastAsia="Arial" w:hAnsi="Arial"/>
                <w:sz w:val="14"/>
                <w:szCs w:val="14"/>
                <w:color w:val="auto"/>
              </w:rPr>
              <w:t>2.250% Senior Notes due 2023</w:t>
            </w:r>
          </w:p>
        </w:tc>
        <w:tc>
          <w:tcPr>
            <w:tcW w:w="2680" w:type="dxa"/>
            <w:vAlign w:val="bottom"/>
          </w:tcPr>
          <w:p>
            <w:pPr>
              <w:jc w:val="center"/>
              <w:ind w:left="8"/>
              <w:spacing w:after="0"/>
              <w:rPr>
                <w:sz w:val="20"/>
                <w:szCs w:val="20"/>
                <w:color w:val="auto"/>
              </w:rPr>
            </w:pPr>
            <w:r>
              <w:rPr>
                <w:rFonts w:ascii="Arial" w:cs="Arial" w:eastAsia="Arial" w:hAnsi="Arial"/>
                <w:sz w:val="14"/>
                <w:szCs w:val="14"/>
                <w:color w:val="auto"/>
              </w:rPr>
              <w:t>XYL23</w:t>
            </w:r>
          </w:p>
        </w:tc>
        <w:tc>
          <w:tcPr>
            <w:tcW w:w="43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4" w:lineRule="exact"/>
        <w:rPr>
          <w:sz w:val="24"/>
          <w:szCs w:val="24"/>
          <w:color w:val="auto"/>
        </w:rPr>
      </w:pPr>
    </w:p>
    <w:p>
      <w:pPr>
        <w:ind w:right="2060"/>
        <w:spacing w:after="0" w:line="261"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ind w:right="160"/>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4" w:lineRule="exact"/>
        <w:rPr>
          <w:sz w:val="24"/>
          <w:szCs w:val="24"/>
          <w:color w:val="auto"/>
        </w:rPr>
      </w:pPr>
    </w:p>
    <w:p>
      <w:pPr>
        <w:ind w:right="660"/>
        <w:spacing w:after="0"/>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jc w:val="both"/>
        <w:ind w:right="340"/>
        <w:spacing w:after="0" w:line="24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55" w:lineRule="exact"/>
        <w:rPr>
          <w:sz w:val="24"/>
          <w:szCs w:val="24"/>
          <w:color w:val="auto"/>
        </w:rPr>
      </w:pPr>
    </w:p>
    <w:p>
      <w:pPr>
        <w:spacing w:after="0" w:line="173" w:lineRule="exact"/>
        <w:tabs>
          <w:tab w:leader="none" w:pos="2120" w:val="left"/>
          <w:tab w:leader="none" w:pos="3800" w:val="left"/>
          <w:tab w:leader="none" w:pos="584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49" w:lineRule="exact"/>
        <w:rPr>
          <w:sz w:val="24"/>
          <w:szCs w:val="24"/>
          <w:color w:val="auto"/>
        </w:rPr>
      </w:pPr>
    </w:p>
    <w:p>
      <w:pPr>
        <w:ind w:right="280"/>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83" w:lineRule="exact"/>
        <w:rPr>
          <w:sz w:val="24"/>
          <w:szCs w:val="24"/>
          <w:color w:val="auto"/>
        </w:rPr>
      </w:pPr>
    </w:p>
    <w:p>
      <w:pPr>
        <w:ind w:right="40"/>
        <w:spacing w:after="0" w:line="18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9" w:lineRule="exact"/>
        <w:rPr>
          <w:sz w:val="24"/>
          <w:szCs w:val="24"/>
          <w:color w:val="auto"/>
        </w:rPr>
      </w:pPr>
    </w:p>
    <w:p>
      <w:pPr>
        <w:ind w:right="280"/>
        <w:spacing w:after="0" w:line="255"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2021 was approximately $22.6 billion. As of February 18, 2022, there were 179,901,139 outstanding shares of the registrant’s common stock, par value $0.01 per share.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 w:lineRule="exact"/>
        <w:rPr>
          <w:sz w:val="24"/>
          <w:szCs w:val="24"/>
          <w:color w:val="auto"/>
        </w:rPr>
      </w:pPr>
    </w:p>
    <w:p>
      <w:pPr>
        <w:ind w:right="260"/>
        <w:spacing w:after="0" w:line="255" w:lineRule="auto"/>
        <w:rPr>
          <w:sz w:val="20"/>
          <w:szCs w:val="20"/>
          <w:color w:val="auto"/>
        </w:rPr>
      </w:pPr>
      <w:r>
        <w:rPr>
          <w:rFonts w:ascii="Arial" w:cs="Arial" w:eastAsia="Arial" w:hAnsi="Arial"/>
          <w:sz w:val="15"/>
          <w:szCs w:val="15"/>
          <w:color w:val="auto"/>
        </w:rPr>
        <w:t>Portions of the registrant’s definitive proxy statement for its 2022 Annual Meeting of Shareowners, to be held in May 2022,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558800</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40" w:type="dxa"/>
            <w:vAlign w:val="bottom"/>
            <w:gridSpan w:val="8"/>
          </w:tcPr>
          <w:p>
            <w:pPr>
              <w:jc w:val="center"/>
              <w:ind w:right="4260"/>
              <w:spacing w:after="0"/>
              <w:rPr>
                <w:sz w:val="20"/>
                <w:szCs w:val="20"/>
                <w:color w:val="auto"/>
              </w:rPr>
            </w:pPr>
            <w:r>
              <w:rPr>
                <w:rFonts w:ascii="Arial" w:cs="Arial" w:eastAsia="Arial" w:hAnsi="Arial"/>
                <w:sz w:val="18"/>
                <w:szCs w:val="18"/>
                <w:b w:val="1"/>
                <w:bCs w:val="1"/>
                <w:color w:val="auto"/>
                <w:w w:val="98"/>
              </w:rPr>
              <w:t>Xylem Inc.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99"/>
              </w:rPr>
              <w:t>ANNUAL REPORT ON FORM 10-K</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For the fiscal year ended December 31, 2021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6"/>
        </w:trPr>
        <w:tc>
          <w:tcPr>
            <w:tcW w:w="48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40" w:type="dxa"/>
            <w:vAlign w:val="bottom"/>
            <w:gridSpan w:val="8"/>
            <w:vMerge w:val="restart"/>
          </w:tcPr>
          <w:p>
            <w:pPr>
              <w:jc w:val="center"/>
              <w:ind w:right="496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40" w:type="dxa"/>
            <w:vAlign w:val="bottom"/>
            <w:gridSpan w:val="8"/>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80" w:type="dxa"/>
            <w:vAlign w:val="bottom"/>
          </w:tcPr>
          <w:p>
            <w:pPr>
              <w:spacing w:after="0"/>
              <w:rPr>
                <w:sz w:val="20"/>
                <w:szCs w:val="20"/>
                <w:color w:val="auto"/>
              </w:rPr>
            </w:pPr>
            <w:r>
              <w:rPr>
                <w:rFonts w:ascii="Arial" w:cs="Arial" w:eastAsia="Arial" w:hAnsi="Arial"/>
                <w:sz w:val="18"/>
                <w:szCs w:val="18"/>
                <w:color w:val="auto"/>
              </w:rPr>
              <w:t>1</w:t>
            </w:r>
          </w:p>
        </w:tc>
        <w:tc>
          <w:tcPr>
            <w:tcW w:w="100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1A.</w:t>
            </w:r>
          </w:p>
        </w:tc>
        <w:tc>
          <w:tcPr>
            <w:tcW w:w="1000" w:type="dxa"/>
            <w:vAlign w:val="bottom"/>
            <w:gridSpan w:val="4"/>
          </w:tcPr>
          <w:p>
            <w:pPr>
              <w:spacing w:after="0"/>
              <w:rPr>
                <w:rFonts w:ascii="Arial" w:cs="Arial" w:eastAsia="Arial" w:hAnsi="Arial"/>
                <w:sz w:val="18"/>
                <w:szCs w:val="18"/>
                <w:color w:val="0000FF"/>
                <w:w w:val="97"/>
              </w:rPr>
            </w:pPr>
            <w:hyperlink w:anchor="page14">
              <w:r>
                <w:rPr>
                  <w:rFonts w:ascii="Arial" w:cs="Arial" w:eastAsia="Arial" w:hAnsi="Arial"/>
                  <w:sz w:val="18"/>
                  <w:szCs w:val="18"/>
                  <w:color w:val="0000FF"/>
                  <w:w w:val="97"/>
                </w:rPr>
                <w:t>Risk Factors</w:t>
              </w:r>
            </w:hyperlink>
          </w:p>
        </w:tc>
        <w:tc>
          <w:tcPr>
            <w:tcW w:w="9020" w:type="dxa"/>
            <w:vAlign w:val="bottom"/>
            <w:gridSpan w:val="18"/>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1B.</w:t>
            </w:r>
          </w:p>
        </w:tc>
        <w:tc>
          <w:tcPr>
            <w:tcW w:w="2240" w:type="dxa"/>
            <w:vAlign w:val="bottom"/>
            <w:gridSpan w:val="10"/>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Unresolved Staff Comments</w:t>
              </w:r>
            </w:hyperlink>
          </w:p>
        </w:tc>
        <w:tc>
          <w:tcPr>
            <w:tcW w:w="7780" w:type="dxa"/>
            <w:vAlign w:val="bottom"/>
            <w:gridSpan w:val="12"/>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2</w:t>
            </w:r>
          </w:p>
        </w:tc>
        <w:tc>
          <w:tcPr>
            <w:tcW w:w="76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Properties</w:t>
              </w:r>
            </w:hyperlink>
          </w:p>
        </w:tc>
        <w:tc>
          <w:tcPr>
            <w:tcW w:w="1480" w:type="dxa"/>
            <w:vAlign w:val="bottom"/>
            <w:gridSpan w:val="8"/>
          </w:tcPr>
          <w:p>
            <w:pPr>
              <w:spacing w:after="0"/>
              <w:rPr>
                <w:sz w:val="18"/>
                <w:szCs w:val="18"/>
                <w:color w:val="auto"/>
              </w:rPr>
            </w:pPr>
          </w:p>
        </w:tc>
        <w:tc>
          <w:tcPr>
            <w:tcW w:w="7780" w:type="dxa"/>
            <w:vAlign w:val="bottom"/>
            <w:gridSpan w:val="12"/>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3</w:t>
            </w:r>
          </w:p>
        </w:tc>
        <w:tc>
          <w:tcPr>
            <w:tcW w:w="1480" w:type="dxa"/>
            <w:vAlign w:val="bottom"/>
            <w:gridSpan w:val="6"/>
          </w:tcPr>
          <w:p>
            <w:pPr>
              <w:spacing w:after="0"/>
              <w:rPr>
                <w:rFonts w:ascii="Arial" w:cs="Arial" w:eastAsia="Arial" w:hAnsi="Arial"/>
                <w:sz w:val="18"/>
                <w:szCs w:val="18"/>
                <w:color w:val="0000FF"/>
                <w:w w:val="96"/>
              </w:rPr>
            </w:pPr>
            <w:hyperlink w:anchor="page28">
              <w:r>
                <w:rPr>
                  <w:rFonts w:ascii="Arial" w:cs="Arial" w:eastAsia="Arial" w:hAnsi="Arial"/>
                  <w:sz w:val="18"/>
                  <w:szCs w:val="18"/>
                  <w:color w:val="0000FF"/>
                  <w:w w:val="96"/>
                </w:rPr>
                <w:t>Legal Proceedings</w:t>
              </w:r>
            </w:hyperlink>
          </w:p>
        </w:tc>
        <w:tc>
          <w:tcPr>
            <w:tcW w:w="8540" w:type="dxa"/>
            <w:vAlign w:val="bottom"/>
            <w:gridSpan w:val="16"/>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4</w:t>
            </w:r>
          </w:p>
        </w:tc>
        <w:tc>
          <w:tcPr>
            <w:tcW w:w="1920" w:type="dxa"/>
            <w:vAlign w:val="bottom"/>
            <w:gridSpan w:val="8"/>
          </w:tcPr>
          <w:p>
            <w:pPr>
              <w:spacing w:after="0"/>
              <w:rPr>
                <w:rFonts w:ascii="Arial" w:cs="Arial" w:eastAsia="Arial" w:hAnsi="Arial"/>
                <w:sz w:val="18"/>
                <w:szCs w:val="18"/>
                <w:color w:val="0000FF"/>
                <w:w w:val="98"/>
              </w:rPr>
            </w:pPr>
            <w:hyperlink w:anchor="page29">
              <w:r>
                <w:rPr>
                  <w:rFonts w:ascii="Arial" w:cs="Arial" w:eastAsia="Arial" w:hAnsi="Arial"/>
                  <w:sz w:val="18"/>
                  <w:szCs w:val="18"/>
                  <w:color w:val="0000FF"/>
                  <w:w w:val="98"/>
                </w:rPr>
                <w:t>Mine Safety Disclosures</w:t>
              </w:r>
            </w:hyperlink>
          </w:p>
        </w:tc>
        <w:tc>
          <w:tcPr>
            <w:tcW w:w="8100" w:type="dxa"/>
            <w:vAlign w:val="bottom"/>
            <w:gridSpan w:val="1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Information about our Executive Officers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18"/>
                <w:szCs w:val="18"/>
                <w:color w:val="auto"/>
              </w:rPr>
            </w:pPr>
          </w:p>
        </w:tc>
        <w:tc>
          <w:tcPr>
            <w:tcW w:w="318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Board of Directors</w:t>
              </w:r>
            </w:hyperlink>
          </w:p>
        </w:tc>
        <w:tc>
          <w:tcPr>
            <w:tcW w:w="6840" w:type="dxa"/>
            <w:vAlign w:val="bottom"/>
            <w:gridSpan w:val="11"/>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518"/>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6"/>
              </w:rPr>
              <w:t>PART II</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0" w:type="dxa"/>
            <w:vAlign w:val="bottom"/>
          </w:tcPr>
          <w:p>
            <w:pPr>
              <w:spacing w:after="0"/>
              <w:rPr>
                <w:sz w:val="20"/>
                <w:szCs w:val="20"/>
                <w:color w:val="auto"/>
              </w:rPr>
            </w:pPr>
            <w:r>
              <w:rPr>
                <w:rFonts w:ascii="Arial" w:cs="Arial" w:eastAsia="Arial" w:hAnsi="Arial"/>
                <w:sz w:val="18"/>
                <w:szCs w:val="18"/>
                <w:color w:val="auto"/>
              </w:rPr>
              <w:t>5</w:t>
            </w:r>
          </w:p>
        </w:tc>
        <w:tc>
          <w:tcPr>
            <w:tcW w:w="10020" w:type="dxa"/>
            <w:vAlign w:val="bottom"/>
            <w:gridSpan w:val="2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Market for the Registrant’s Common Equity, Related Stockholder Matters and Issuer Purchases of Equity Securities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6</w:t>
            </w:r>
          </w:p>
        </w:tc>
        <w:tc>
          <w:tcPr>
            <w:tcW w:w="912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Reserved</w:t>
              </w:r>
            </w:hyperlink>
          </w:p>
        </w:tc>
        <w:tc>
          <w:tcPr>
            <w:tcW w:w="9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7</w:t>
            </w:r>
          </w:p>
        </w:tc>
        <w:tc>
          <w:tcPr>
            <w:tcW w:w="10020" w:type="dxa"/>
            <w:vAlign w:val="bottom"/>
            <w:gridSpan w:val="22"/>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7A.</w:t>
            </w:r>
          </w:p>
        </w:tc>
        <w:tc>
          <w:tcPr>
            <w:tcW w:w="7040" w:type="dxa"/>
            <w:vAlign w:val="bottom"/>
            <w:gridSpan w:val="18"/>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2980" w:type="dxa"/>
            <w:vAlign w:val="bottom"/>
            <w:gridSpan w:val="4"/>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55</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gridSpan w:val="13"/>
          </w:tcPr>
          <w:p>
            <w:pPr>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Financial Statements and Supplementary Data</w:t>
              </w:r>
            </w:hyperlink>
          </w:p>
        </w:tc>
        <w:tc>
          <w:tcPr>
            <w:tcW w:w="980" w:type="dxa"/>
            <w:vAlign w:val="bottom"/>
            <w:gridSpan w:val="2"/>
          </w:tcPr>
          <w:p>
            <w:pPr>
              <w:spacing w:after="0"/>
              <w:rPr>
                <w:sz w:val="18"/>
                <w:szCs w:val="18"/>
                <w:color w:val="auto"/>
              </w:rPr>
            </w:pPr>
          </w:p>
        </w:tc>
        <w:tc>
          <w:tcPr>
            <w:tcW w:w="5340" w:type="dxa"/>
            <w:vAlign w:val="bottom"/>
            <w:gridSpan w:val="7"/>
          </w:tcPr>
          <w:p>
            <w:pPr>
              <w:spacing w:after="0"/>
              <w:rPr>
                <w:sz w:val="18"/>
                <w:szCs w:val="18"/>
                <w:color w:val="auto"/>
              </w:rPr>
            </w:pPr>
          </w:p>
        </w:tc>
        <w:tc>
          <w:tcPr>
            <w:tcW w:w="440" w:type="dxa"/>
            <w:vAlign w:val="bottom"/>
            <w:gridSpan w:val="2"/>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9</w:t>
            </w:r>
          </w:p>
        </w:tc>
        <w:tc>
          <w:tcPr>
            <w:tcW w:w="10020" w:type="dxa"/>
            <w:vAlign w:val="bottom"/>
            <w:gridSpan w:val="22"/>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Changes In and Disagreements With Accountants on Accounting and Financial Disclosure</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08">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9A.</w:t>
            </w:r>
          </w:p>
        </w:tc>
        <w:tc>
          <w:tcPr>
            <w:tcW w:w="1980" w:type="dxa"/>
            <w:vAlign w:val="bottom"/>
            <w:gridSpan w:val="9"/>
          </w:tcPr>
          <w:p>
            <w:pPr>
              <w:spacing w:after="0"/>
              <w:rPr>
                <w:rFonts w:ascii="Arial" w:cs="Arial" w:eastAsia="Arial" w:hAnsi="Arial"/>
                <w:sz w:val="18"/>
                <w:szCs w:val="18"/>
                <w:color w:val="0000FF"/>
                <w:w w:val="98"/>
              </w:rPr>
            </w:pPr>
            <w:hyperlink w:anchor="page109">
              <w:r>
                <w:rPr>
                  <w:rFonts w:ascii="Arial" w:cs="Arial" w:eastAsia="Arial" w:hAnsi="Arial"/>
                  <w:sz w:val="18"/>
                  <w:szCs w:val="18"/>
                  <w:color w:val="0000FF"/>
                  <w:w w:val="98"/>
                </w:rPr>
                <w:t>Controls and Procedures</w:t>
              </w:r>
            </w:hyperlink>
          </w:p>
        </w:tc>
        <w:tc>
          <w:tcPr>
            <w:tcW w:w="5160" w:type="dxa"/>
            <w:vAlign w:val="bottom"/>
            <w:gridSpan w:val="10"/>
          </w:tcPr>
          <w:p>
            <w:pPr>
              <w:spacing w:after="0"/>
              <w:rPr>
                <w:sz w:val="18"/>
                <w:szCs w:val="18"/>
                <w:color w:val="auto"/>
              </w:rPr>
            </w:pPr>
          </w:p>
        </w:tc>
        <w:tc>
          <w:tcPr>
            <w:tcW w:w="2880" w:type="dxa"/>
            <w:vAlign w:val="bottom"/>
            <w:gridSpan w:val="3"/>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9B.</w:t>
            </w:r>
          </w:p>
        </w:tc>
        <w:tc>
          <w:tcPr>
            <w:tcW w:w="1980" w:type="dxa"/>
            <w:vAlign w:val="bottom"/>
            <w:gridSpan w:val="9"/>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Other Information</w:t>
              </w:r>
            </w:hyperlink>
          </w:p>
        </w:tc>
        <w:tc>
          <w:tcPr>
            <w:tcW w:w="8040" w:type="dxa"/>
            <w:vAlign w:val="bottom"/>
            <w:gridSpan w:val="13"/>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0" w:type="dxa"/>
            <w:vAlign w:val="bottom"/>
          </w:tcPr>
          <w:p>
            <w:pPr>
              <w:spacing w:after="0" w:line="195" w:lineRule="exact"/>
              <w:rPr>
                <w:sz w:val="20"/>
                <w:szCs w:val="20"/>
                <w:color w:val="auto"/>
              </w:rPr>
            </w:pPr>
            <w:r>
              <w:rPr>
                <w:rFonts w:ascii="Arial" w:cs="Arial" w:eastAsia="Arial" w:hAnsi="Arial"/>
                <w:sz w:val="18"/>
                <w:szCs w:val="18"/>
                <w:color w:val="auto"/>
              </w:rPr>
              <w:t>9C.</w:t>
            </w:r>
          </w:p>
        </w:tc>
        <w:tc>
          <w:tcPr>
            <w:tcW w:w="5380" w:type="dxa"/>
            <w:vAlign w:val="bottom"/>
            <w:tcBorders>
              <w:bottom w:val="single" w:sz="8" w:color="0000FF"/>
            </w:tcBorders>
            <w:gridSpan w:val="16"/>
          </w:tcPr>
          <w:p>
            <w:pPr>
              <w:spacing w:after="0" w:line="195" w:lineRule="exact"/>
              <w:rPr>
                <w:rFonts w:ascii="Arial" w:cs="Arial" w:eastAsia="Arial" w:hAnsi="Arial"/>
                <w:sz w:val="18"/>
                <w:szCs w:val="18"/>
                <w:color w:val="0000FF"/>
                <w:w w:val="99"/>
              </w:rPr>
            </w:pPr>
            <w:hyperlink w:anchor="page109">
              <w:r>
                <w:rPr>
                  <w:rFonts w:ascii="Arial" w:cs="Arial" w:eastAsia="Arial" w:hAnsi="Arial"/>
                  <w:sz w:val="18"/>
                  <w:szCs w:val="18"/>
                  <w:color w:val="0000FF"/>
                  <w:w w:val="99"/>
                </w:rPr>
                <w:t>Disclosure Regarding Foreign Jurisdictions that Prevent Inspections</w:t>
              </w:r>
            </w:hyperlink>
          </w:p>
        </w:tc>
        <w:tc>
          <w:tcPr>
            <w:tcW w:w="4640" w:type="dxa"/>
            <w:vAlign w:val="bottom"/>
            <w:gridSpan w:val="6"/>
          </w:tcPr>
          <w:p>
            <w:pPr>
              <w:spacing w:after="0"/>
              <w:rPr>
                <w:sz w:val="19"/>
                <w:szCs w:val="19"/>
                <w:color w:val="auto"/>
              </w:rPr>
            </w:pPr>
          </w:p>
        </w:tc>
        <w:tc>
          <w:tcPr>
            <w:tcW w:w="660" w:type="dxa"/>
            <w:vAlign w:val="bottom"/>
            <w:gridSpan w:val="5"/>
          </w:tcPr>
          <w:p>
            <w:pPr>
              <w:jc w:val="right"/>
              <w:ind w:right="20"/>
              <w:spacing w:after="0" w:line="195" w:lineRule="exact"/>
              <w:rPr>
                <w:rFonts w:ascii="Arial" w:cs="Arial" w:eastAsia="Arial" w:hAnsi="Arial"/>
                <w:sz w:val="18"/>
                <w:szCs w:val="18"/>
                <w:color w:val="0000FF"/>
              </w:rPr>
            </w:pPr>
            <w:hyperlink w:anchor="page109">
              <w:r>
                <w:rPr>
                  <w:rFonts w:ascii="Arial" w:cs="Arial" w:eastAsia="Arial" w:hAnsi="Arial"/>
                  <w:sz w:val="18"/>
                  <w:szCs w:val="18"/>
                  <w:color w:val="0000FF"/>
                </w:rPr>
                <w:t>110</w:t>
              </w:r>
            </w:hyperlink>
          </w:p>
        </w:tc>
        <w:tc>
          <w:tcPr>
            <w:tcW w:w="0" w:type="dxa"/>
            <w:vAlign w:val="bottom"/>
          </w:tcPr>
          <w:p>
            <w:pPr>
              <w:spacing w:after="0"/>
              <w:rPr>
                <w:sz w:val="1"/>
                <w:szCs w:val="1"/>
                <w:color w:val="auto"/>
              </w:rPr>
            </w:pPr>
          </w:p>
        </w:tc>
      </w:tr>
      <w:tr>
        <w:trPr>
          <w:trHeight w:val="511"/>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5"/>
              </w:rPr>
              <w:t>PART III</w:t>
            </w: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gridSpan w:val="14"/>
          </w:tcPr>
          <w:p>
            <w:pPr>
              <w:spacing w:after="0"/>
              <w:rPr>
                <w:rFonts w:ascii="Arial" w:cs="Arial" w:eastAsia="Arial" w:hAnsi="Arial"/>
                <w:sz w:val="18"/>
                <w:szCs w:val="18"/>
                <w:color w:val="0000FF"/>
                <w:w w:val="99"/>
              </w:rPr>
            </w:pPr>
            <w:hyperlink w:anchor="page112">
              <w:r>
                <w:rPr>
                  <w:rFonts w:ascii="Arial" w:cs="Arial" w:eastAsia="Arial" w:hAnsi="Arial"/>
                  <w:sz w:val="18"/>
                  <w:szCs w:val="18"/>
                  <w:color w:val="0000FF"/>
                  <w:w w:val="99"/>
                </w:rPr>
                <w:t>Directors, Executive Officers and Corporate Governance</w:t>
              </w:r>
            </w:hyperlink>
          </w:p>
        </w:tc>
        <w:tc>
          <w:tcPr>
            <w:tcW w:w="5540" w:type="dxa"/>
            <w:vAlign w:val="bottom"/>
            <w:gridSpan w:val="8"/>
          </w:tcPr>
          <w:p>
            <w:pPr>
              <w:spacing w:after="0"/>
              <w:rPr>
                <w:sz w:val="24"/>
                <w:szCs w:val="24"/>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11</w:t>
            </w:r>
          </w:p>
        </w:tc>
        <w:tc>
          <w:tcPr>
            <w:tcW w:w="1980" w:type="dxa"/>
            <w:vAlign w:val="bottom"/>
            <w:gridSpan w:val="9"/>
          </w:tcPr>
          <w:p>
            <w:pPr>
              <w:spacing w:after="0"/>
              <w:rPr>
                <w:rFonts w:ascii="Arial" w:cs="Arial" w:eastAsia="Arial" w:hAnsi="Arial"/>
                <w:sz w:val="18"/>
                <w:szCs w:val="18"/>
                <w:color w:val="0000FF"/>
                <w:w w:val="98"/>
              </w:rPr>
            </w:pPr>
            <w:hyperlink w:anchor="page112">
              <w:r>
                <w:rPr>
                  <w:rFonts w:ascii="Arial" w:cs="Arial" w:eastAsia="Arial" w:hAnsi="Arial"/>
                  <w:sz w:val="18"/>
                  <w:szCs w:val="18"/>
                  <w:color w:val="0000FF"/>
                  <w:w w:val="98"/>
                </w:rPr>
                <w:t>Executive Compensation</w:t>
              </w:r>
            </w:hyperlink>
          </w:p>
        </w:tc>
        <w:tc>
          <w:tcPr>
            <w:tcW w:w="2500" w:type="dxa"/>
            <w:vAlign w:val="bottom"/>
            <w:gridSpan w:val="5"/>
          </w:tcPr>
          <w:p>
            <w:pPr>
              <w:spacing w:after="0"/>
              <w:rPr>
                <w:sz w:val="18"/>
                <w:szCs w:val="18"/>
                <w:color w:val="auto"/>
              </w:rPr>
            </w:pPr>
          </w:p>
        </w:tc>
        <w:tc>
          <w:tcPr>
            <w:tcW w:w="5540" w:type="dxa"/>
            <w:vAlign w:val="bottom"/>
            <w:gridSpan w:val="8"/>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12</w:t>
            </w:r>
          </w:p>
        </w:tc>
        <w:tc>
          <w:tcPr>
            <w:tcW w:w="10020" w:type="dxa"/>
            <w:vAlign w:val="bottom"/>
            <w:gridSpan w:val="22"/>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Security Ownership of Certain Beneficial Owners and Management and Related Stockholder Matters</w:t>
              </w:r>
            </w:hyperlink>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13</w:t>
            </w:r>
          </w:p>
        </w:tc>
        <w:tc>
          <w:tcPr>
            <w:tcW w:w="7960" w:type="dxa"/>
            <w:vAlign w:val="bottom"/>
            <w:gridSpan w:val="20"/>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Certain Relationships and Related Transactions, and Director Independence</w:t>
              </w:r>
            </w:hyperlink>
          </w:p>
        </w:tc>
        <w:tc>
          <w:tcPr>
            <w:tcW w:w="2060" w:type="dxa"/>
            <w:vAlign w:val="bottom"/>
            <w:gridSpan w:val="2"/>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14</w:t>
            </w:r>
          </w:p>
        </w:tc>
        <w:tc>
          <w:tcPr>
            <w:tcW w:w="6040" w:type="dxa"/>
            <w:vAlign w:val="bottom"/>
            <w:gridSpan w:val="1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Principal Accounting Fees and Services</w:t>
              </w:r>
            </w:hyperlink>
          </w:p>
        </w:tc>
        <w:tc>
          <w:tcPr>
            <w:tcW w:w="3980" w:type="dxa"/>
            <w:vAlign w:val="bottom"/>
            <w:gridSpan w:val="5"/>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518"/>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gridSpan w:val="9"/>
          </w:tcPr>
          <w:p>
            <w:pPr>
              <w:jc w:val="center"/>
              <w:ind w:right="4180"/>
              <w:spacing w:after="0"/>
              <w:rPr>
                <w:sz w:val="20"/>
                <w:szCs w:val="20"/>
                <w:color w:val="auto"/>
              </w:rPr>
            </w:pPr>
            <w:r>
              <w:rPr>
                <w:rFonts w:ascii="Arial" w:cs="Arial" w:eastAsia="Arial" w:hAnsi="Arial"/>
                <w:sz w:val="18"/>
                <w:szCs w:val="18"/>
                <w:b w:val="1"/>
                <w:bCs w:val="1"/>
                <w:color w:val="auto"/>
                <w:w w:val="98"/>
              </w:rPr>
              <w:t>PART IV</w:t>
            </w: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480" w:type="dxa"/>
            <w:vAlign w:val="bottom"/>
          </w:tcPr>
          <w:p>
            <w:pPr>
              <w:spacing w:after="0"/>
              <w:rPr>
                <w:sz w:val="20"/>
                <w:szCs w:val="20"/>
                <w:color w:val="auto"/>
              </w:rPr>
            </w:pPr>
            <w:r>
              <w:rPr>
                <w:rFonts w:ascii="Arial" w:cs="Arial" w:eastAsia="Arial" w:hAnsi="Arial"/>
                <w:sz w:val="18"/>
                <w:szCs w:val="18"/>
                <w:color w:val="auto"/>
              </w:rPr>
              <w:t>15</w:t>
            </w:r>
          </w:p>
        </w:tc>
        <w:tc>
          <w:tcPr>
            <w:tcW w:w="3200" w:type="dxa"/>
            <w:vAlign w:val="bottom"/>
            <w:gridSpan w:val="12"/>
          </w:tcPr>
          <w:p>
            <w:pPr>
              <w:spacing w:after="0"/>
              <w:rPr>
                <w:rFonts w:ascii="Arial" w:cs="Arial" w:eastAsia="Arial" w:hAnsi="Arial"/>
                <w:sz w:val="18"/>
                <w:szCs w:val="18"/>
                <w:color w:val="0000FF"/>
                <w:w w:val="99"/>
              </w:rPr>
            </w:pPr>
            <w:hyperlink w:anchor="page113">
              <w:r>
                <w:rPr>
                  <w:rFonts w:ascii="Arial" w:cs="Arial" w:eastAsia="Arial" w:hAnsi="Arial"/>
                  <w:sz w:val="18"/>
                  <w:szCs w:val="18"/>
                  <w:color w:val="0000FF"/>
                  <w:w w:val="99"/>
                </w:rPr>
                <w:t>Exhibits, Financial Statement Schedules</w:t>
              </w:r>
            </w:hyperlink>
          </w:p>
        </w:tc>
        <w:tc>
          <w:tcPr>
            <w:tcW w:w="6820" w:type="dxa"/>
            <w:vAlign w:val="bottom"/>
            <w:gridSpan w:val="10"/>
          </w:tcPr>
          <w:p>
            <w:pPr>
              <w:spacing w:after="0"/>
              <w:rPr>
                <w:sz w:val="24"/>
                <w:szCs w:val="24"/>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8"/>
                <w:szCs w:val="18"/>
                <w:color w:val="auto"/>
              </w:rPr>
              <w:t>16</w:t>
            </w:r>
          </w:p>
        </w:tc>
        <w:tc>
          <w:tcPr>
            <w:tcW w:w="1660" w:type="dxa"/>
            <w:vAlign w:val="bottom"/>
            <w:gridSpan w:val="7"/>
          </w:tcPr>
          <w:p>
            <w:pPr>
              <w:spacing w:after="0"/>
              <w:rPr>
                <w:rFonts w:ascii="Arial" w:cs="Arial" w:eastAsia="Arial" w:hAnsi="Arial"/>
                <w:sz w:val="18"/>
                <w:szCs w:val="18"/>
                <w:color w:val="0000FF"/>
                <w:w w:val="98"/>
              </w:rPr>
            </w:pPr>
            <w:hyperlink w:anchor="page116">
              <w:r>
                <w:rPr>
                  <w:rFonts w:ascii="Arial" w:cs="Arial" w:eastAsia="Arial" w:hAnsi="Arial"/>
                  <w:sz w:val="18"/>
                  <w:szCs w:val="18"/>
                  <w:color w:val="0000FF"/>
                  <w:w w:val="98"/>
                </w:rPr>
                <w:t>Form 10-K Summary</w:t>
              </w:r>
            </w:hyperlink>
          </w:p>
        </w:tc>
        <w:tc>
          <w:tcPr>
            <w:tcW w:w="1540" w:type="dxa"/>
            <w:vAlign w:val="bottom"/>
            <w:gridSpan w:val="5"/>
          </w:tcPr>
          <w:p>
            <w:pPr>
              <w:spacing w:after="0"/>
              <w:rPr>
                <w:sz w:val="18"/>
                <w:szCs w:val="18"/>
                <w:color w:val="auto"/>
              </w:rPr>
            </w:pPr>
          </w:p>
        </w:tc>
        <w:tc>
          <w:tcPr>
            <w:tcW w:w="6820" w:type="dxa"/>
            <w:vAlign w:val="bottom"/>
            <w:gridSpan w:val="10"/>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7">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 w:type="dxa"/>
            <w:vAlign w:val="bottom"/>
          </w:tcPr>
          <w:p>
            <w:pPr>
              <w:spacing w:after="0"/>
              <w:rPr>
                <w:sz w:val="18"/>
                <w:szCs w:val="18"/>
                <w:color w:val="auto"/>
              </w:rPr>
            </w:pPr>
          </w:p>
        </w:tc>
        <w:tc>
          <w:tcPr>
            <w:tcW w:w="860" w:type="dxa"/>
            <w:vAlign w:val="bottom"/>
            <w:gridSpan w:val="3"/>
          </w:tcPr>
          <w:p>
            <w:pPr>
              <w:spacing w:after="0"/>
              <w:rPr>
                <w:rFonts w:ascii="Arial" w:cs="Arial" w:eastAsia="Arial" w:hAnsi="Arial"/>
                <w:sz w:val="18"/>
                <w:szCs w:val="18"/>
                <w:color w:val="0000FF"/>
                <w:w w:val="97"/>
              </w:rPr>
            </w:pPr>
            <w:hyperlink w:anchor="page117">
              <w:r>
                <w:rPr>
                  <w:rFonts w:ascii="Arial" w:cs="Arial" w:eastAsia="Arial" w:hAnsi="Arial"/>
                  <w:sz w:val="18"/>
                  <w:szCs w:val="18"/>
                  <w:color w:val="0000FF"/>
                  <w:w w:val="97"/>
                </w:rPr>
                <w:t>Signatures</w:t>
              </w:r>
            </w:hyperlink>
          </w:p>
        </w:tc>
        <w:tc>
          <w:tcPr>
            <w:tcW w:w="800" w:type="dxa"/>
            <w:vAlign w:val="bottom"/>
            <w:gridSpan w:val="4"/>
          </w:tcPr>
          <w:p>
            <w:pPr>
              <w:spacing w:after="0"/>
              <w:rPr>
                <w:sz w:val="18"/>
                <w:szCs w:val="18"/>
                <w:color w:val="auto"/>
              </w:rPr>
            </w:pPr>
          </w:p>
        </w:tc>
        <w:tc>
          <w:tcPr>
            <w:tcW w:w="8360" w:type="dxa"/>
            <w:vAlign w:val="bottom"/>
            <w:gridSpan w:val="15"/>
          </w:tcPr>
          <w:p>
            <w:pPr>
              <w:spacing w:after="0"/>
              <w:rPr>
                <w:sz w:val="18"/>
                <w:szCs w:val="18"/>
                <w:color w:val="auto"/>
              </w:rPr>
            </w:pPr>
          </w:p>
        </w:tc>
        <w:tc>
          <w:tcPr>
            <w:tcW w:w="660" w:type="dxa"/>
            <w:vAlign w:val="bottom"/>
            <w:gridSpan w:val="5"/>
          </w:tcPr>
          <w:p>
            <w:pPr>
              <w:jc w:val="right"/>
              <w:ind w:right="20"/>
              <w:spacing w:after="0"/>
              <w:rPr>
                <w:rFonts w:ascii="Arial" w:cs="Arial" w:eastAsia="Arial" w:hAnsi="Arial"/>
                <w:sz w:val="18"/>
                <w:szCs w:val="18"/>
                <w:color w:val="0000FF"/>
              </w:rPr>
            </w:pPr>
            <w:hyperlink w:anchor="page117">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ind w:left="440" w:hanging="435"/>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40" w:top="883"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3"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223"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the ongoing coronavirus (“COVID-19”) pandemic. Important factors that could cause our actual results, performance and achievements, or industry results to differ materially from estimates or projections contained in or implied by our forward-looking statements include, among others, the following: overall industry and economic conditions, including industrial, governmental, and public and private sector spending and the strength of the residential and commercial real estate markets; geopolitical, regulatory, economic and other risks associated with our sales and operations, including with respect to domestic content requirements applicable to projects with governmental funding; continued uncertainty around the ongoing COVID-19 pandemic’s magnitude, duration and impacts on our business, operations, growth, and financial condition; actual or potential other epidemics, pandemics or global health crises; availability, shortage or delays in receiving electronics, parts and raw materials from our supply chain; manufacturing and operating cost increases due to inflation, prevailing price changes, tariffs and other factors; demand for our</w:t>
      </w:r>
    </w:p>
    <w:p>
      <w:pPr>
        <w:spacing w:after="0" w:line="2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ability to retain and attract senior management and other diverse and key talent, as well as increasing competition for overall talent and labor; difficulty predicting our financial results; defects, security, warranty and liability claims, and recalls with respect to products; availability,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regulation or interference with radio spectrum used by certain of our products; uncertainty related to restructuring and realignment actions and</w:t>
      </w:r>
    </w:p>
    <w:p>
      <w:pPr>
        <w:spacing w:after="0" w:line="33"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related charges and savings; our ability to continue strategic investments for growth; our ability to successfully identify, execute and integrate acquisitions; volatility in served markets or impacts on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this Report and in subsequent filings we make with the Securities and Exchange Commission (“SEC”).</w:t>
      </w:r>
    </w:p>
    <w:p>
      <w:pPr>
        <w:spacing w:after="0" w:line="215"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Forward-looking and other statements in this Form 10-K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4"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Xylem is a leading global water technology company with 2021 revenues of $5.2 billion and approximately 17,300 employees worldwide, of which approximately 1,200 were temporary or fixed-term employees or interns. We design, manufacture and service highly engineered products and solutions across a wide variety of critical applications, primarily in the water sector, but also in energy. Our broad portfolio of products, services and solutions addresses customer needs of scarcity, resilience, and affordability across the water cycle, from the delivery, measurement and use of drinking water, to the collection, testing, analysis and treatment of wastewater, to the return of water to the environment.</w:t>
      </w:r>
    </w:p>
    <w:p>
      <w:pPr>
        <w:spacing w:after="0" w:line="109" w:lineRule="exact"/>
        <w:rPr>
          <w:sz w:val="20"/>
          <w:szCs w:val="20"/>
          <w:color w:val="auto"/>
        </w:rPr>
      </w:pPr>
    </w:p>
    <w:p>
      <w:pPr>
        <w:ind w:right="860"/>
        <w:spacing w:after="0" w:line="254" w:lineRule="auto"/>
        <w:rPr>
          <w:sz w:val="20"/>
          <w:szCs w:val="20"/>
          <w:color w:val="auto"/>
        </w:rPr>
      </w:pPr>
      <w:r>
        <w:rPr>
          <w:rFonts w:ascii="Arial" w:cs="Arial" w:eastAsia="Arial" w:hAnsi="Arial"/>
          <w:sz w:val="18"/>
          <w:szCs w:val="18"/>
          <w:color w:val="auto"/>
        </w:rPr>
        <w:t>We have differentiated market positions in core application areas including transport, treatment, dewatering, test, smart metering, infrastructure assessment services, digital software solutions for utilities, commercial and residential building services and industrial processes. Setting us apart is a unique set of global assets that include:</w:t>
      </w:r>
    </w:p>
    <w:p>
      <w:pPr>
        <w:spacing w:after="0" w:line="337" w:lineRule="exact"/>
        <w:rPr>
          <w:sz w:val="20"/>
          <w:szCs w:val="20"/>
          <w:color w:val="auto"/>
        </w:rPr>
      </w:pPr>
    </w:p>
    <w:p>
      <w:pPr>
        <w:ind w:left="720" w:hanging="30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8" w:lineRule="exact"/>
        <w:rPr>
          <w:rFonts w:ascii="Arial" w:cs="Arial" w:eastAsia="Arial" w:hAnsi="Arial"/>
          <w:sz w:val="18"/>
          <w:szCs w:val="18"/>
          <w:color w:val="auto"/>
        </w:rPr>
      </w:pPr>
    </w:p>
    <w:p>
      <w:pPr>
        <w:ind w:left="740" w:right="180" w:hanging="329"/>
        <w:spacing w:after="0" w:line="24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ind w:left="720" w:hanging="30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across the water cycle that provides for steady recurring revenue</w:t>
      </w:r>
    </w:p>
    <w:p>
      <w:pPr>
        <w:spacing w:after="0" w:line="8" w:lineRule="exact"/>
        <w:rPr>
          <w:rFonts w:ascii="Arial" w:cs="Arial" w:eastAsia="Arial" w:hAnsi="Arial"/>
          <w:sz w:val="18"/>
          <w:szCs w:val="18"/>
          <w:color w:val="auto"/>
        </w:rPr>
      </w:pPr>
    </w:p>
    <w:p>
      <w:pPr>
        <w:ind w:left="720" w:hanging="30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bringing innovative products, solutions, and business models to customers</w:t>
      </w:r>
    </w:p>
    <w:p>
      <w:pPr>
        <w:spacing w:after="0" w:line="8" w:lineRule="exact"/>
        <w:rPr>
          <w:rFonts w:ascii="Arial" w:cs="Arial" w:eastAsia="Arial" w:hAnsi="Arial"/>
          <w:sz w:val="18"/>
          <w:szCs w:val="18"/>
          <w:color w:val="auto"/>
        </w:rPr>
      </w:pPr>
    </w:p>
    <w:p>
      <w:pPr>
        <w:ind w:left="740" w:right="480" w:hanging="329"/>
        <w:spacing w:after="0" w:line="24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ind w:left="740" w:right="320" w:hanging="329"/>
        <w:spacing w:after="0" w:line="24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ind w:left="740" w:right="440" w:hanging="329"/>
        <w:spacing w:after="0" w:line="259"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experienced, qualified and technologically advanced group of experienced employees focused on safely satisfying our customers' requirements in the water and energy spaces</w:t>
      </w:r>
    </w:p>
    <w:p>
      <w:pPr>
        <w:spacing w:after="0" w:line="225" w:lineRule="exact"/>
        <w:rPr>
          <w:sz w:val="20"/>
          <w:szCs w:val="20"/>
          <w:color w:val="auto"/>
        </w:rPr>
      </w:pPr>
    </w:p>
    <w:p>
      <w:pPr>
        <w:ind w:right="1000"/>
        <w:spacing w:after="0" w:line="373" w:lineRule="auto"/>
        <w:rPr>
          <w:sz w:val="20"/>
          <w:szCs w:val="20"/>
          <w:color w:val="auto"/>
        </w:rPr>
      </w:pPr>
      <w:r>
        <w:rPr>
          <w:rFonts w:ascii="Arial" w:cs="Arial" w:eastAsia="Arial" w:hAnsi="Arial"/>
          <w:sz w:val="18"/>
          <w:szCs w:val="18"/>
          <w:color w:val="auto"/>
        </w:rPr>
        <w:t xml:space="preserve">Our vision is to create a world in which water issues are no longer a constraint to health, prosperity and sustainable development. </w:t>
      </w:r>
      <w:r>
        <w:rPr>
          <w:rFonts w:ascii="Arial" w:cs="Arial" w:eastAsia="Arial" w:hAnsi="Arial"/>
          <w:sz w:val="18"/>
          <w:szCs w:val="18"/>
          <w:b w:val="1"/>
          <w:bCs w:val="1"/>
          <w:color w:val="auto"/>
        </w:rPr>
        <w:t>Our Industry</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these supplies are threatened by factors such as the draining of aquifers, increased pollution and the effects of climate change. Demand for fresh water is rising rapidly due to population growth, industrial expansion, and increased agricultural development, with consumption estimated to double every 20 years. By 2025, more than 30% of the world’s population is expected to live in areas without adequate water supply. Even in developed countries with sufficient clean water supply, existing water supply infrastructure is aging and often inefficient. In the U.S., deteriorating pipe systems, theft or inaccurate meters result in approximately one out of every six gallons of treated water being lost prior to reaching the end customer. This problem of "non-revenue" water is a major financial challenge of many utilities globally, especially in developing markets where non-revenue water can represent 10% to 60% or more of net water produced. These and other challenges create opportunities for growth in the global water industry. We estimate the total addressable market size of the global water industry, excluding operational expenditures related to labor, energy, and chemicals, to be approximately $600 billion.</w:t>
      </w:r>
    </w:p>
    <w:p>
      <w:pPr>
        <w:spacing w:after="0" w:line="231" w:lineRule="exact"/>
        <w:rPr>
          <w:sz w:val="20"/>
          <w:szCs w:val="20"/>
          <w:color w:val="auto"/>
        </w:rPr>
      </w:pPr>
    </w:p>
    <w:p>
      <w:pPr>
        <w:jc w:val="both"/>
        <w:ind w:right="260"/>
        <w:spacing w:after="0" w:line="263" w:lineRule="auto"/>
        <w:rPr>
          <w:sz w:val="20"/>
          <w:szCs w:val="20"/>
          <w:color w:val="auto"/>
        </w:rPr>
      </w:pPr>
      <w:r>
        <w:rPr>
          <w:rFonts w:ascii="Arial" w:cs="Arial" w:eastAsia="Arial" w:hAnsi="Arial"/>
          <w:sz w:val="17"/>
          <w:szCs w:val="17"/>
          <w:color w:val="auto"/>
        </w:rPr>
        <w:t>Global water needs cannot be met without streamlining the water industry’s cost structure with technologies that fundamentally change the provision and management of water. We compete in areas that are pivotal to improving "water affordability" and "resilience", while reducing the impact of "water scarcity". "Water affordability" refers to the more efficient delivery, use and treatment of clean water and wastewater.</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"Resilience" refers to the management of water-related risks, including climate change mitigation, and the resilience of water infrastructure. "Water scarcity" refers to the management of limited supplies of water due to climate change, overpopulation and pollution. Our customers often face all three of these challenges, ranging from inefficient and aging water distribution networks and energy-intensive or unreliable water and wastewater management systems (requiring improvements in water affordability); droughts and pollution which limit the amount of water readily available (causing water scarcity); or exposure to natural disasters such as floods or droughts (requiring improvements in resilience). Additionally, we also provide solutions to enhance communications and efficiency, improve safety and conserve resources to customers in the water and energy sectors. Delivering value in these areas creates significant opportunity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 party contractors, that work with utilities to design and build water and wastewater infrastructure networks, as depicted below. Utilities and other customers require products, solutions, services,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and application expertise to a wide array of entities, including farms, mines, power plants, industrial facilities (such as food and beverage and pharmaceutical manufacturers) and residential and commercial customers seeking to address similar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37"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Our overarching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73" w:lineRule="exact"/>
        <w:rPr>
          <w:sz w:val="20"/>
          <w:szCs w:val="20"/>
          <w:color w:val="auto"/>
        </w:rPr>
      </w:pPr>
    </w:p>
    <w:p>
      <w:pPr>
        <w:ind w:left="660" w:right="120" w:hanging="653"/>
        <w:spacing w:after="0" w:line="25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Drive Customer Success. </w:t>
      </w:r>
      <w:r>
        <w:rPr>
          <w:rFonts w:ascii="Arial" w:cs="Arial" w:eastAsia="Arial" w:hAnsi="Arial"/>
          <w:sz w:val="17"/>
          <w:szCs w:val="17"/>
          <w:color w:val="auto"/>
        </w:rPr>
        <w:t>We seek to partner with customers to meet their stakeholders’ needs through our broad portfolio of</w:t>
      </w:r>
      <w:r>
        <w:rPr>
          <w:rFonts w:ascii="Arial" w:cs="Arial" w:eastAsia="Arial" w:hAnsi="Arial"/>
          <w:sz w:val="17"/>
          <w:szCs w:val="17"/>
          <w:b w:val="1"/>
          <w:bCs w:val="1"/>
          <w:color w:val="auto"/>
        </w:rPr>
        <w:t xml:space="preserve"> </w:t>
      </w:r>
      <w:r>
        <w:rPr>
          <w:rFonts w:ascii="Arial" w:cs="Arial" w:eastAsia="Arial" w:hAnsi="Arial"/>
          <w:sz w:val="17"/>
          <w:szCs w:val="17"/>
          <w:color w:val="auto"/>
        </w:rPr>
        <w:t>unmatched products, services and solutions. We are focused on several key areas, beginning with making it easier for customers to do business with Xylem and access the full range of our capabilities. As part of this, we are implementing a digital platform to discover, select, get price quotes, and purchase our offerings. Second, we seek to lead the way as digital technologies transform our sector by further integrating our digital solution portfolio and broadening our solution sales, digital literacy and marketing capabilities company-wide. Third, we seek to help customers get the most out of their systems by providing world-class services that ensure uptime, efficiency and resilience. We partner with them by providing powerful, integrated lifecycle services and solutions.</w:t>
      </w:r>
    </w:p>
    <w:p>
      <w:pPr>
        <w:spacing w:after="0" w:line="58" w:lineRule="exact"/>
        <w:rPr>
          <w:rFonts w:ascii="Arial" w:cs="Arial" w:eastAsia="Arial" w:hAnsi="Arial"/>
          <w:sz w:val="17"/>
          <w:szCs w:val="17"/>
          <w:color w:val="auto"/>
        </w:rPr>
      </w:pPr>
    </w:p>
    <w:p>
      <w:pPr>
        <w:ind w:left="660" w:right="100" w:hanging="653"/>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in the Emerging Markets. </w:t>
      </w:r>
      <w:r>
        <w:rPr>
          <w:rFonts w:ascii="Arial" w:cs="Arial" w:eastAsia="Arial" w:hAnsi="Arial"/>
          <w:sz w:val="18"/>
          <w:szCs w:val="18"/>
          <w:color w:val="auto"/>
        </w:rPr>
        <w:t>We continue to invest in localizing our capabilities in the emerging markets. We will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innovation, product management and engineering teams in these regions, expanding our market coverage in key growth markets such as China, India, Eastern Europe and Africa. We seek to address the base of the pyramid population by providing water and sanitation needs with new solutions and business models.</w:t>
      </w:r>
    </w:p>
    <w:p>
      <w:pPr>
        <w:spacing w:after="0" w:line="67" w:lineRule="exact"/>
        <w:rPr>
          <w:rFonts w:ascii="Arial" w:cs="Arial" w:eastAsia="Arial" w:hAnsi="Arial"/>
          <w:sz w:val="18"/>
          <w:szCs w:val="18"/>
          <w:b w:val="1"/>
          <w:bCs w:val="1"/>
          <w:color w:val="auto"/>
        </w:rPr>
      </w:pPr>
    </w:p>
    <w:p>
      <w:pPr>
        <w:ind w:left="660" w:right="360" w:hanging="653"/>
        <w:spacing w:after="0" w:line="28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Strengthen Innovation and Technology. </w:t>
      </w:r>
      <w:r>
        <w:rPr>
          <w:rFonts w:ascii="Arial" w:cs="Arial" w:eastAsia="Arial" w:hAnsi="Arial"/>
          <w:sz w:val="18"/>
          <w:szCs w:val="18"/>
          <w:color w:val="auto"/>
        </w:rPr>
        <w:t>We seek to create new customer offerings that help them solve water challenges more</w:t>
      </w:r>
      <w:r>
        <w:rPr>
          <w:rFonts w:ascii="Arial" w:cs="Arial" w:eastAsia="Arial" w:hAnsi="Arial"/>
          <w:sz w:val="18"/>
          <w:szCs w:val="18"/>
          <w:b w:val="1"/>
          <w:bCs w:val="1"/>
          <w:color w:val="auto"/>
        </w:rPr>
        <w:t xml:space="preserve"> </w:t>
      </w:r>
      <w:r>
        <w:rPr>
          <w:rFonts w:ascii="Arial" w:cs="Arial" w:eastAsia="Arial" w:hAnsi="Arial"/>
          <w:sz w:val="18"/>
          <w:szCs w:val="18"/>
          <w:color w:val="auto"/>
        </w:rPr>
        <w:t>powerfully than ever before, while also providing our company with rapid growth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 w:name="page6"/>
    <w:bookmarkEnd w:id="5"/>
    <w:p>
      <w:pPr>
        <w:ind w:left="660" w:right="420"/>
        <w:spacing w:after="0" w:line="252" w:lineRule="auto"/>
        <w:rPr>
          <w:sz w:val="20"/>
          <w:szCs w:val="20"/>
          <w:color w:val="auto"/>
        </w:rPr>
      </w:pPr>
      <w:r>
        <w:rPr>
          <w:rFonts w:ascii="Arial" w:cs="Arial" w:eastAsia="Arial" w:hAnsi="Arial"/>
          <w:sz w:val="18"/>
          <w:szCs w:val="18"/>
          <w:color w:val="auto"/>
        </w:rPr>
        <w:t>opportunities. We are focused on building and enabling infrastructure for digital growth by making our hardware, networks and software applications interoperable and creating a common software experience. This will further strengthen our core product offerings, and deliver strategic, sustainable innovations that help us tap into new markets through advanced technology and new business models.</w:t>
      </w:r>
    </w:p>
    <w:p>
      <w:pPr>
        <w:spacing w:after="0" w:line="76" w:lineRule="exact"/>
        <w:rPr>
          <w:sz w:val="20"/>
          <w:szCs w:val="20"/>
          <w:color w:val="auto"/>
        </w:rPr>
      </w:pPr>
    </w:p>
    <w:p>
      <w:pPr>
        <w:ind w:left="660" w:right="20" w:hanging="653"/>
        <w:spacing w:after="0" w:line="256"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 a Culture of Continuous Improvement. </w:t>
      </w:r>
      <w:r>
        <w:rPr>
          <w:rFonts w:ascii="Arial" w:cs="Arial" w:eastAsia="Arial" w:hAnsi="Arial"/>
          <w:sz w:val="18"/>
          <w:szCs w:val="18"/>
          <w:color w:val="auto"/>
        </w:rPr>
        <w:t>We seek to continue embedding a continuous improvement mindset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will continue to improve our efficiency, simplify our business and manage costs to support continued growth. We are committed to eliminating business complexity by streamlining internal bureaucracy and expanding standard business platforms and processes to help people do their jobs. This will result in freeing up time to ensure that we focus on work that creates customer value. Other focus areas include removing unnecessary costs from our end-to-end value chain to free up resources for growth; and building resilience and sustainability into our supply chain to protect our ability to serve customers.</w:t>
      </w:r>
    </w:p>
    <w:p>
      <w:pPr>
        <w:spacing w:after="0" w:line="72" w:lineRule="exact"/>
        <w:rPr>
          <w:rFonts w:ascii="Arial" w:cs="Arial" w:eastAsia="Arial" w:hAnsi="Arial"/>
          <w:sz w:val="18"/>
          <w:szCs w:val="18"/>
          <w:b w:val="1"/>
          <w:bCs w:val="1"/>
          <w:color w:val="auto"/>
        </w:rPr>
      </w:pPr>
    </w:p>
    <w:p>
      <w:pPr>
        <w:ind w:left="660" w:hanging="653"/>
        <w:spacing w:after="0" w:line="28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Cultivate Leadership and Talent Development. </w:t>
      </w:r>
      <w:r>
        <w:rPr>
          <w:rFonts w:ascii="Arial" w:cs="Arial" w:eastAsia="Arial" w:hAnsi="Arial"/>
          <w:sz w:val="17"/>
          <w:szCs w:val="17"/>
          <w:color w:val="auto"/>
        </w:rPr>
        <w:t>We continue to foster an empowering, mission-driven, diverse and inclusive culture.</w:t>
      </w:r>
      <w:r>
        <w:rPr>
          <w:rFonts w:ascii="Arial" w:cs="Arial" w:eastAsia="Arial" w:hAnsi="Arial"/>
          <w:sz w:val="17"/>
          <w:szCs w:val="17"/>
          <w:b w:val="1"/>
          <w:bCs w:val="1"/>
          <w:color w:val="auto"/>
        </w:rPr>
        <w:t xml:space="preserve"> </w:t>
      </w:r>
      <w:r>
        <w:rPr>
          <w:rFonts w:ascii="Arial" w:cs="Arial" w:eastAsia="Arial" w:hAnsi="Arial"/>
          <w:sz w:val="17"/>
          <w:szCs w:val="17"/>
          <w:color w:val="auto"/>
        </w:rPr>
        <w:t>We will continue to build leadership succession depth and breadth in keeping with our commitment to developing the next generation of leaders. We will also align our incentives, including share-based and performance-based compensation, and organizational structure to our strategy, favoring approaches to drive 'one company' skills, mindset and behaviors, and stakeholder value creation.</w:t>
      </w:r>
    </w:p>
    <w:p>
      <w:pPr>
        <w:spacing w:after="0" w:line="200" w:lineRule="exact"/>
        <w:rPr>
          <w:sz w:val="20"/>
          <w:szCs w:val="20"/>
          <w:color w:val="auto"/>
        </w:rPr>
      </w:pPr>
    </w:p>
    <w:p>
      <w:pPr>
        <w:spacing w:after="0" w:line="2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strategic plan firmly embeds sustainability at the heart of our competitive advantage and unique business model, and aligns each of our five core strategic pillars to the overarching goal of integrating sustainability into everything we do.</w:t>
      </w:r>
    </w:p>
    <w:p>
      <w:pPr>
        <w:spacing w:after="0" w:line="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2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We have </w:t>
      </w:r>
      <w:r>
        <w:rPr>
          <w:rFonts w:ascii="Arial" w:cs="Arial" w:eastAsia="Arial" w:hAnsi="Arial"/>
          <w:sz w:val="19"/>
          <w:szCs w:val="19"/>
          <w:color w:val="auto"/>
        </w:rPr>
        <w:t>t</w:t>
      </w:r>
      <w:r>
        <w:rPr>
          <w:rFonts w:ascii="Arial" w:cs="Arial" w:eastAsia="Arial" w:hAnsi="Arial"/>
          <w:sz w:val="18"/>
          <w:szCs w:val="18"/>
          <w:color w:val="auto"/>
        </w:rPr>
        <w:t>hree reportable business segments that are aligned around the critical market applications they provide: Water Infrastructure, Applied Water, and Measurement &amp; Control Solutions. See Note 22, “Segment and Geographic Data,” in our consolidated financial statements for financial information about segments and geographic areas.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120" w:type="dxa"/>
            <w:vAlign w:val="bottom"/>
            <w:gridSpan w:val="2"/>
          </w:tcPr>
          <w:p>
            <w:pPr>
              <w:ind w:left="78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2021 Revenue</w:t>
            </w:r>
          </w:p>
        </w:tc>
        <w:tc>
          <w:tcPr>
            <w:tcW w:w="144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2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Applications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17"/>
        </w:trPr>
        <w:tc>
          <w:tcPr>
            <w:tcW w:w="1540" w:type="dxa"/>
            <w:vAlign w:val="bottom"/>
            <w:vMerge w:val="restart"/>
          </w:tcPr>
          <w:p>
            <w:pPr>
              <w:jc w:val="center"/>
              <w:ind w:right="116"/>
              <w:spacing w:after="0"/>
              <w:rPr>
                <w:sz w:val="20"/>
                <w:szCs w:val="20"/>
                <w:color w:val="auto"/>
              </w:rPr>
            </w:pPr>
            <w:r>
              <w:rPr>
                <w:rFonts w:ascii="Arial" w:cs="Arial" w:eastAsia="Arial" w:hAnsi="Arial"/>
                <w:sz w:val="18"/>
                <w:szCs w:val="18"/>
                <w:b w:val="1"/>
                <w:bCs w:val="1"/>
                <w:color w:val="auto"/>
                <w:w w:val="99"/>
              </w:rPr>
              <w:t>Water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Water and wastewater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Flygt</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00" w:type="dxa"/>
            <w:vAlign w:val="bottom"/>
            <w:gridSpan w:val="2"/>
            <w:vMerge w:val="restart"/>
          </w:tcPr>
          <w:p>
            <w:pPr>
              <w:ind w:left="120"/>
              <w:spacing w:after="0"/>
              <w:rPr>
                <w:sz w:val="20"/>
                <w:szCs w:val="20"/>
                <w:color w:val="auto"/>
              </w:rPr>
            </w:pPr>
            <w:r>
              <w:rPr>
                <w:rFonts w:ascii="Arial" w:cs="Arial" w:eastAsia="Arial" w:hAnsi="Arial"/>
                <w:sz w:val="18"/>
                <w:szCs w:val="18"/>
                <w:color w:val="auto"/>
              </w:rPr>
              <w:t>pumps</w:t>
            </w: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rPr>
                <w:sz w:val="20"/>
                <w:szCs w:val="20"/>
                <w:color w:val="auto"/>
              </w:rPr>
            </w:pPr>
            <w:r>
              <w:rPr>
                <w:rFonts w:ascii="Arial" w:cs="Arial" w:eastAsia="Arial" w:hAnsi="Arial"/>
                <w:sz w:val="18"/>
                <w:szCs w:val="18"/>
                <w:color w:val="auto"/>
              </w:rPr>
              <w:t>Godwin</w:t>
            </w:r>
          </w:p>
        </w:tc>
        <w:tc>
          <w:tcPr>
            <w:tcW w:w="0" w:type="dxa"/>
            <w:vAlign w:val="bottom"/>
          </w:tcPr>
          <w:p>
            <w:pPr>
              <w:spacing w:after="0"/>
              <w:rPr>
                <w:sz w:val="1"/>
                <w:szCs w:val="1"/>
                <w:color w:val="auto"/>
              </w:rPr>
            </w:pPr>
          </w:p>
        </w:tc>
      </w:tr>
      <w:tr>
        <w:trPr>
          <w:trHeight w:val="107"/>
        </w:trPr>
        <w:tc>
          <w:tcPr>
            <w:tcW w:w="1540" w:type="dxa"/>
            <w:vAlign w:val="bottom"/>
            <w:vMerge w:val="restart"/>
          </w:tcPr>
          <w:p>
            <w:pPr>
              <w:jc w:val="center"/>
              <w:ind w:right="96"/>
              <w:spacing w:after="0"/>
              <w:rPr>
                <w:sz w:val="20"/>
                <w:szCs w:val="20"/>
                <w:color w:val="auto"/>
              </w:rPr>
            </w:pPr>
            <w:r>
              <w:rPr>
                <w:rFonts w:ascii="Arial" w:cs="Arial" w:eastAsia="Arial" w:hAnsi="Arial"/>
                <w:sz w:val="18"/>
                <w:szCs w:val="18"/>
                <w:b w:val="1"/>
                <w:bCs w:val="1"/>
                <w:color w:val="auto"/>
                <w:w w:val="99"/>
              </w:rPr>
              <w:t>Infrastructure</w:t>
            </w:r>
          </w:p>
        </w:tc>
        <w:tc>
          <w:tcPr>
            <w:tcW w:w="212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540" w:type="dxa"/>
            <w:vAlign w:val="bottom"/>
            <w:vMerge w:val="continue"/>
          </w:tcPr>
          <w:p>
            <w:pPr>
              <w:spacing w:after="0"/>
              <w:rPr>
                <w:sz w:val="11"/>
                <w:szCs w:val="11"/>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300" w:type="dxa"/>
            <w:vAlign w:val="bottom"/>
            <w:gridSpan w:val="2"/>
          </w:tcPr>
          <w:p>
            <w:pPr>
              <w:ind w:left="100"/>
              <w:spacing w:after="0" w:line="133" w:lineRule="exact"/>
              <w:rPr>
                <w:sz w:val="20"/>
                <w:szCs w:val="20"/>
                <w:color w:val="auto"/>
              </w:rPr>
            </w:pPr>
            <w:r>
              <w:rPr>
                <w:rFonts w:ascii="Arial" w:cs="Arial" w:eastAsia="Arial" w:hAnsi="Arial"/>
                <w:sz w:val="15"/>
                <w:szCs w:val="15"/>
                <w:color w:val="auto"/>
              </w:rPr>
              <w:t>Filtration, disinfection and</w:t>
            </w:r>
          </w:p>
        </w:tc>
        <w:tc>
          <w:tcPr>
            <w:tcW w:w="200" w:type="dxa"/>
            <w:vAlign w:val="bottom"/>
          </w:tcPr>
          <w:p>
            <w:pPr>
              <w:ind w:left="100"/>
              <w:spacing w:after="0" w:line="133" w:lineRule="exact"/>
              <w:rPr>
                <w:sz w:val="20"/>
                <w:szCs w:val="20"/>
                <w:color w:val="auto"/>
              </w:rPr>
            </w:pPr>
            <w:r>
              <w:rPr>
                <w:rFonts w:ascii="Arial" w:cs="Arial" w:eastAsia="Arial" w:hAnsi="Arial"/>
                <w:sz w:val="15"/>
                <w:szCs w:val="15"/>
                <w:color w:val="auto"/>
              </w:rPr>
              <w:t>•</w:t>
            </w:r>
          </w:p>
        </w:tc>
        <w:tc>
          <w:tcPr>
            <w:tcW w:w="1920" w:type="dxa"/>
            <w:vAlign w:val="bottom"/>
          </w:tcPr>
          <w:p>
            <w:pPr>
              <w:ind w:left="100"/>
              <w:spacing w:after="0" w:line="133" w:lineRule="exact"/>
              <w:rPr>
                <w:sz w:val="20"/>
                <w:szCs w:val="20"/>
                <w:color w:val="auto"/>
              </w:rPr>
            </w:pPr>
            <w:r>
              <w:rPr>
                <w:rFonts w:ascii="Arial" w:cs="Arial" w:eastAsia="Arial" w:hAnsi="Arial"/>
                <w:sz w:val="15"/>
                <w:szCs w:val="15"/>
                <w:color w:val="auto"/>
              </w:rPr>
              <w:t>Leopold</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120"/>
              <w:spacing w:after="0" w:line="175" w:lineRule="exact"/>
              <w:rPr>
                <w:sz w:val="20"/>
                <w:szCs w:val="20"/>
                <w:color w:val="auto"/>
              </w:rPr>
            </w:pPr>
            <w:r>
              <w:rPr>
                <w:rFonts w:ascii="Arial" w:cs="Arial" w:eastAsia="Arial" w:hAnsi="Arial"/>
                <w:sz w:val="18"/>
                <w:szCs w:val="18"/>
                <w:color w:val="auto"/>
              </w:rPr>
              <w:t>biological treatment</w:t>
            </w:r>
          </w:p>
        </w:tc>
        <w:tc>
          <w:tcPr>
            <w:tcW w:w="200" w:type="dxa"/>
            <w:vAlign w:val="bottom"/>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tcPr>
          <w:p>
            <w:pPr>
              <w:ind w:left="100"/>
              <w:spacing w:after="0" w:line="175" w:lineRule="exact"/>
              <w:rPr>
                <w:sz w:val="20"/>
                <w:szCs w:val="20"/>
                <w:color w:val="auto"/>
              </w:rPr>
            </w:pPr>
            <w:r>
              <w:rPr>
                <w:rFonts w:ascii="Arial" w:cs="Arial" w:eastAsia="Arial" w:hAnsi="Arial"/>
                <w:sz w:val="18"/>
                <w:szCs w:val="18"/>
                <w:color w:val="auto"/>
              </w:rPr>
              <w:t>Sanitaire</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47" w:lineRule="exact"/>
              <w:rPr>
                <w:sz w:val="20"/>
                <w:szCs w:val="20"/>
                <w:color w:val="auto"/>
              </w:rPr>
            </w:pPr>
            <w:r>
              <w:rPr>
                <w:rFonts w:ascii="Arial" w:cs="Arial" w:eastAsia="Arial" w:hAnsi="Arial"/>
                <w:sz w:val="17"/>
                <w:szCs w:val="17"/>
                <w:color w:val="auto"/>
              </w:rPr>
              <w:t>2,247</w:t>
            </w:r>
          </w:p>
        </w:tc>
        <w:tc>
          <w:tcPr>
            <w:tcW w:w="100" w:type="dxa"/>
            <w:vAlign w:val="bottom"/>
          </w:tcPr>
          <w:p>
            <w:pPr>
              <w:spacing w:after="0"/>
              <w:rPr>
                <w:sz w:val="12"/>
                <w:szCs w:val="12"/>
                <w:color w:val="auto"/>
              </w:rPr>
            </w:pPr>
          </w:p>
        </w:tc>
        <w:tc>
          <w:tcPr>
            <w:tcW w:w="1440" w:type="dxa"/>
            <w:vAlign w:val="bottom"/>
          </w:tcPr>
          <w:p>
            <w:pPr>
              <w:jc w:val="right"/>
              <w:spacing w:after="0" w:line="147" w:lineRule="exact"/>
              <w:rPr>
                <w:sz w:val="20"/>
                <w:szCs w:val="20"/>
                <w:color w:val="auto"/>
              </w:rPr>
            </w:pPr>
            <w:r>
              <w:rPr>
                <w:rFonts w:ascii="Arial" w:cs="Arial" w:eastAsia="Arial" w:hAnsi="Arial"/>
                <w:sz w:val="17"/>
                <w:szCs w:val="17"/>
                <w:color w:val="auto"/>
              </w:rPr>
              <w:t>100 %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2"/>
          </w:tcPr>
          <w:p>
            <w:pPr>
              <w:ind w:left="120"/>
              <w:spacing w:after="0" w:line="147" w:lineRule="exact"/>
              <w:rPr>
                <w:sz w:val="20"/>
                <w:szCs w:val="20"/>
                <w:color w:val="auto"/>
              </w:rPr>
            </w:pPr>
            <w:r>
              <w:rPr>
                <w:rFonts w:ascii="Arial" w:cs="Arial" w:eastAsia="Arial" w:hAnsi="Arial"/>
                <w:sz w:val="17"/>
                <w:szCs w:val="17"/>
                <w:color w:val="auto"/>
              </w:rPr>
              <w:t>equipment</w:t>
            </w:r>
          </w:p>
        </w:tc>
        <w:tc>
          <w:tcPr>
            <w:tcW w:w="200" w:type="dxa"/>
            <w:vAlign w:val="bottom"/>
          </w:tcPr>
          <w:p>
            <w:pPr>
              <w:ind w:left="100"/>
              <w:spacing w:after="0" w:line="147" w:lineRule="exact"/>
              <w:rPr>
                <w:sz w:val="20"/>
                <w:szCs w:val="20"/>
                <w:color w:val="auto"/>
              </w:rPr>
            </w:pPr>
            <w:r>
              <w:rPr>
                <w:rFonts w:ascii="Arial" w:cs="Arial" w:eastAsia="Arial" w:hAnsi="Arial"/>
                <w:sz w:val="17"/>
                <w:szCs w:val="17"/>
                <w:color w:val="auto"/>
              </w:rPr>
              <w:t>•</w:t>
            </w:r>
          </w:p>
        </w:tc>
        <w:tc>
          <w:tcPr>
            <w:tcW w:w="1920" w:type="dxa"/>
            <w:vAlign w:val="bottom"/>
          </w:tcPr>
          <w:p>
            <w:pPr>
              <w:ind w:left="100"/>
              <w:spacing w:after="0" w:line="147" w:lineRule="exact"/>
              <w:rPr>
                <w:sz w:val="20"/>
                <w:szCs w:val="20"/>
                <w:color w:val="auto"/>
              </w:rPr>
            </w:pPr>
            <w:r>
              <w:rPr>
                <w:rFonts w:ascii="Arial" w:cs="Arial" w:eastAsia="Arial" w:hAnsi="Arial"/>
                <w:sz w:val="17"/>
                <w:szCs w:val="17"/>
                <w:color w:val="auto"/>
              </w:rPr>
              <w:t>Wedeco</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2520" w:type="dxa"/>
            <w:vAlign w:val="bottom"/>
            <w:gridSpan w:val="3"/>
            <w:vMerge w:val="restart"/>
          </w:tcPr>
          <w:p>
            <w:pPr>
              <w:ind w:left="100"/>
              <w:spacing w:after="0" w:line="175" w:lineRule="exact"/>
              <w:rPr>
                <w:sz w:val="20"/>
                <w:szCs w:val="20"/>
                <w:color w:val="auto"/>
              </w:rPr>
            </w:pPr>
            <w:r>
              <w:rPr>
                <w:rFonts w:ascii="Arial" w:cs="Arial" w:eastAsia="Arial" w:hAnsi="Arial"/>
                <w:sz w:val="18"/>
                <w:szCs w:val="18"/>
                <w:color w:val="auto"/>
              </w:rPr>
              <w:t>• Mobile dewatering</w:t>
            </w:r>
          </w:p>
        </w:tc>
        <w:tc>
          <w:tcPr>
            <w:tcW w:w="20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1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1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6"/>
        </w:trPr>
        <w:tc>
          <w:tcPr>
            <w:tcW w:w="154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auto"/>
              </w:rPr>
              <w:t>Commercial Building</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Pumps</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1920" w:type="dxa"/>
            <w:vAlign w:val="bottom"/>
          </w:tcPr>
          <w:p>
            <w:pPr>
              <w:ind w:left="60"/>
              <w:spacing w:after="0"/>
              <w:rPr>
                <w:sz w:val="20"/>
                <w:szCs w:val="20"/>
                <w:color w:val="auto"/>
              </w:rPr>
            </w:pPr>
            <w:r>
              <w:rPr>
                <w:rFonts w:ascii="Arial" w:cs="Arial" w:eastAsia="Arial" w:hAnsi="Arial"/>
                <w:sz w:val="18"/>
                <w:szCs w:val="18"/>
                <w:color w:val="auto"/>
              </w:rPr>
              <w:t>A-C Fire Pump</w:t>
            </w:r>
          </w:p>
        </w:tc>
        <w:tc>
          <w:tcPr>
            <w:tcW w:w="0" w:type="dxa"/>
            <w:vAlign w:val="bottom"/>
          </w:tcPr>
          <w:p>
            <w:pPr>
              <w:spacing w:after="0"/>
              <w:rPr>
                <w:sz w:val="1"/>
                <w:szCs w:val="1"/>
                <w:color w:val="auto"/>
              </w:rPr>
            </w:pPr>
          </w:p>
        </w:tc>
      </w:tr>
      <w:tr>
        <w:trPr>
          <w:trHeight w:val="175"/>
        </w:trPr>
        <w:tc>
          <w:tcPr>
            <w:tcW w:w="1540" w:type="dxa"/>
            <w:vAlign w:val="bottom"/>
            <w:vMerge w:val="restart"/>
          </w:tcPr>
          <w:p>
            <w:pPr>
              <w:jc w:val="center"/>
              <w:ind w:right="116"/>
              <w:spacing w:after="0"/>
              <w:rPr>
                <w:sz w:val="20"/>
                <w:szCs w:val="20"/>
                <w:color w:val="auto"/>
              </w:rPr>
            </w:pPr>
            <w:r>
              <w:rPr>
                <w:rFonts w:ascii="Arial" w:cs="Arial" w:eastAsia="Arial" w:hAnsi="Arial"/>
                <w:sz w:val="18"/>
                <w:szCs w:val="18"/>
                <w:b w:val="1"/>
                <w:bCs w:val="1"/>
                <w:color w:val="auto"/>
                <w:w w:val="99"/>
              </w:rPr>
              <w:t>Applied</w:t>
            </w:r>
          </w:p>
        </w:tc>
        <w:tc>
          <w:tcPr>
            <w:tcW w:w="212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Services</w:t>
            </w:r>
          </w:p>
        </w:tc>
        <w:tc>
          <w:tcPr>
            <w:tcW w:w="120" w:type="dxa"/>
            <w:vAlign w:val="bottom"/>
          </w:tcPr>
          <w:p>
            <w:pPr>
              <w:jc w:val="right"/>
              <w:spacing w:after="0" w:line="175"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75"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5"/>
                <w:szCs w:val="15"/>
                <w:color w:val="auto"/>
              </w:rPr>
            </w:pPr>
          </w:p>
        </w:tc>
        <w:tc>
          <w:tcPr>
            <w:tcW w:w="1440" w:type="dxa"/>
            <w:vAlign w:val="bottom"/>
          </w:tcPr>
          <w:p>
            <w:pPr>
              <w:jc w:val="right"/>
              <w:spacing w:after="0" w:line="175" w:lineRule="exact"/>
              <w:rPr>
                <w:sz w:val="20"/>
                <w:szCs w:val="20"/>
                <w:color w:val="auto"/>
              </w:rPr>
            </w:pPr>
            <w:r>
              <w:rPr>
                <w:rFonts w:ascii="Arial" w:cs="Arial" w:eastAsia="Arial" w:hAnsi="Arial"/>
                <w:sz w:val="18"/>
                <w:szCs w:val="18"/>
                <w:color w:val="auto"/>
              </w:rPr>
              <w:t>38 %</w:t>
            </w:r>
          </w:p>
        </w:tc>
        <w:tc>
          <w:tcPr>
            <w:tcW w:w="100" w:type="dxa"/>
            <w:vAlign w:val="bottom"/>
          </w:tcPr>
          <w:p>
            <w:pPr>
              <w:spacing w:after="0"/>
              <w:rPr>
                <w:sz w:val="15"/>
                <w:szCs w:val="15"/>
                <w:color w:val="auto"/>
              </w:rPr>
            </w:pPr>
          </w:p>
        </w:tc>
        <w:tc>
          <w:tcPr>
            <w:tcW w:w="220" w:type="dxa"/>
            <w:vAlign w:val="bottom"/>
          </w:tcPr>
          <w:p>
            <w:pPr>
              <w:ind w:left="100"/>
              <w:spacing w:after="0" w:line="175" w:lineRule="exact"/>
              <w:rPr>
                <w:sz w:val="20"/>
                <w:szCs w:val="20"/>
                <w:color w:val="auto"/>
              </w:rPr>
            </w:pPr>
            <w:r>
              <w:rPr>
                <w:rFonts w:ascii="Arial" w:cs="Arial" w:eastAsia="Arial" w:hAnsi="Arial"/>
                <w:sz w:val="18"/>
                <w:szCs w:val="18"/>
                <w:color w:val="auto"/>
              </w:rPr>
              <w:t>•</w:t>
            </w:r>
          </w:p>
        </w:tc>
        <w:tc>
          <w:tcPr>
            <w:tcW w:w="2300" w:type="dxa"/>
            <w:vAlign w:val="bottom"/>
            <w:gridSpan w:val="2"/>
          </w:tcPr>
          <w:p>
            <w:pPr>
              <w:ind w:left="100"/>
              <w:spacing w:after="0" w:line="175" w:lineRule="exact"/>
              <w:rPr>
                <w:sz w:val="20"/>
                <w:szCs w:val="20"/>
                <w:color w:val="auto"/>
              </w:rPr>
            </w:pPr>
            <w:r>
              <w:rPr>
                <w:rFonts w:ascii="Arial" w:cs="Arial" w:eastAsia="Arial" w:hAnsi="Arial"/>
                <w:sz w:val="18"/>
                <w:szCs w:val="18"/>
                <w:color w:val="auto"/>
              </w:rPr>
              <w:t>Valves</w:t>
            </w:r>
          </w:p>
        </w:tc>
        <w:tc>
          <w:tcPr>
            <w:tcW w:w="200" w:type="dxa"/>
            <w:vAlign w:val="bottom"/>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tcPr>
          <w:p>
            <w:pPr>
              <w:ind w:left="100"/>
              <w:spacing w:after="0" w:line="175" w:lineRule="exact"/>
              <w:rPr>
                <w:sz w:val="20"/>
                <w:szCs w:val="20"/>
                <w:color w:val="auto"/>
              </w:rPr>
            </w:pPr>
            <w:r>
              <w:rPr>
                <w:rFonts w:ascii="Arial" w:cs="Arial" w:eastAsia="Arial" w:hAnsi="Arial"/>
                <w:sz w:val="18"/>
                <w:szCs w:val="18"/>
                <w:color w:val="auto"/>
              </w:rPr>
              <w:t>Bell &amp; Gossett</w:t>
            </w:r>
          </w:p>
        </w:tc>
        <w:tc>
          <w:tcPr>
            <w:tcW w:w="0" w:type="dxa"/>
            <w:vAlign w:val="bottom"/>
          </w:tcPr>
          <w:p>
            <w:pPr>
              <w:spacing w:after="0"/>
              <w:rPr>
                <w:sz w:val="1"/>
                <w:szCs w:val="1"/>
                <w:color w:val="auto"/>
              </w:rPr>
            </w:pPr>
          </w:p>
        </w:tc>
      </w:tr>
      <w:tr>
        <w:trPr>
          <w:trHeight w:val="107"/>
        </w:trPr>
        <w:tc>
          <w:tcPr>
            <w:tcW w:w="1540" w:type="dxa"/>
            <w:vAlign w:val="bottom"/>
            <w:vMerge w:val="continue"/>
          </w:tcPr>
          <w:p>
            <w:pPr>
              <w:spacing w:after="0"/>
              <w:rPr>
                <w:sz w:val="9"/>
                <w:szCs w:val="9"/>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7"/>
                <w:szCs w:val="17"/>
                <w:color w:val="auto"/>
              </w:rPr>
              <w:t>Residential Building</w:t>
            </w: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rPr>
                <w:sz w:val="20"/>
                <w:szCs w:val="20"/>
                <w:color w:val="auto"/>
              </w:rPr>
            </w:pPr>
            <w:r>
              <w:rPr>
                <w:rFonts w:ascii="Arial" w:cs="Arial" w:eastAsia="Arial" w:hAnsi="Arial"/>
                <w:sz w:val="18"/>
                <w:szCs w:val="18"/>
                <w:color w:val="auto"/>
              </w:rPr>
              <w:t>Heat exchangers</w:t>
            </w:r>
          </w:p>
        </w:tc>
        <w:tc>
          <w:tcPr>
            <w:tcW w:w="200" w:type="dxa"/>
            <w:vAlign w:val="bottom"/>
          </w:tcPr>
          <w:p>
            <w:pPr>
              <w:ind w:left="100"/>
              <w:spacing w:after="0" w:line="107" w:lineRule="exact"/>
              <w:rPr>
                <w:sz w:val="20"/>
                <w:szCs w:val="20"/>
                <w:color w:val="auto"/>
              </w:rPr>
            </w:pPr>
            <w:r>
              <w:rPr>
                <w:rFonts w:ascii="Arial" w:cs="Arial" w:eastAsia="Arial" w:hAnsi="Arial"/>
                <w:sz w:val="12"/>
                <w:szCs w:val="12"/>
                <w:color w:val="auto"/>
              </w:rPr>
              <w:t>•</w:t>
            </w:r>
          </w:p>
        </w:tc>
        <w:tc>
          <w:tcPr>
            <w:tcW w:w="1920" w:type="dxa"/>
            <w:vAlign w:val="bottom"/>
          </w:tcPr>
          <w:p>
            <w:pPr>
              <w:ind w:left="100"/>
              <w:spacing w:after="0" w:line="107" w:lineRule="exact"/>
              <w:rPr>
                <w:sz w:val="20"/>
                <w:szCs w:val="20"/>
                <w:color w:val="auto"/>
              </w:rPr>
            </w:pPr>
            <w:r>
              <w:rPr>
                <w:rFonts w:ascii="Arial" w:cs="Arial" w:eastAsia="Arial" w:hAnsi="Arial"/>
                <w:sz w:val="12"/>
                <w:szCs w:val="12"/>
                <w:color w:val="auto"/>
              </w:rPr>
              <w:t>Flojet</w:t>
            </w:r>
          </w:p>
        </w:tc>
        <w:tc>
          <w:tcPr>
            <w:tcW w:w="0" w:type="dxa"/>
            <w:vAlign w:val="bottom"/>
          </w:tcPr>
          <w:p>
            <w:pPr>
              <w:spacing w:after="0"/>
              <w:rPr>
                <w:sz w:val="1"/>
                <w:szCs w:val="1"/>
                <w:color w:val="auto"/>
              </w:rPr>
            </w:pPr>
          </w:p>
        </w:tc>
      </w:tr>
      <w:tr>
        <w:trPr>
          <w:trHeight w:val="161"/>
        </w:trPr>
        <w:tc>
          <w:tcPr>
            <w:tcW w:w="1540" w:type="dxa"/>
            <w:vAlign w:val="bottom"/>
          </w:tcPr>
          <w:p>
            <w:pPr>
              <w:jc w:val="center"/>
              <w:ind w:right="116"/>
              <w:spacing w:after="0" w:line="161" w:lineRule="exact"/>
              <w:rPr>
                <w:sz w:val="20"/>
                <w:szCs w:val="20"/>
                <w:color w:val="auto"/>
              </w:rPr>
            </w:pPr>
            <w:r>
              <w:rPr>
                <w:rFonts w:ascii="Arial" w:cs="Arial" w:eastAsia="Arial" w:hAnsi="Arial"/>
                <w:sz w:val="18"/>
                <w:szCs w:val="18"/>
                <w:b w:val="1"/>
                <w:bCs w:val="1"/>
                <w:color w:val="auto"/>
                <w:w w:val="99"/>
              </w:rPr>
              <w:t>Water</w:t>
            </w:r>
          </w:p>
        </w:tc>
        <w:tc>
          <w:tcPr>
            <w:tcW w:w="2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00" w:type="dxa"/>
            <w:vAlign w:val="bottom"/>
          </w:tcPr>
          <w:p>
            <w:pPr>
              <w:ind w:left="100"/>
              <w:spacing w:after="0" w:line="161" w:lineRule="exact"/>
              <w:rPr>
                <w:sz w:val="20"/>
                <w:szCs w:val="20"/>
                <w:color w:val="auto"/>
              </w:rPr>
            </w:pPr>
            <w:r>
              <w:rPr>
                <w:rFonts w:ascii="Arial" w:cs="Arial" w:eastAsia="Arial" w:hAnsi="Arial"/>
                <w:sz w:val="18"/>
                <w:szCs w:val="18"/>
                <w:color w:val="auto"/>
              </w:rPr>
              <w:t>•</w:t>
            </w:r>
          </w:p>
        </w:tc>
        <w:tc>
          <w:tcPr>
            <w:tcW w:w="1920" w:type="dxa"/>
            <w:vAlign w:val="bottom"/>
          </w:tcPr>
          <w:p>
            <w:pPr>
              <w:ind w:left="100"/>
              <w:spacing w:after="0" w:line="161" w:lineRule="exact"/>
              <w:rPr>
                <w:sz w:val="20"/>
                <w:szCs w:val="20"/>
                <w:color w:val="auto"/>
              </w:rPr>
            </w:pPr>
            <w:r>
              <w:rPr>
                <w:rFonts w:ascii="Arial" w:cs="Arial" w:eastAsia="Arial" w:hAnsi="Arial"/>
                <w:sz w:val="18"/>
                <w:szCs w:val="18"/>
                <w:color w:val="auto"/>
              </w:rPr>
              <w:t>Goulds Water</w:t>
            </w: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2120" w:type="dxa"/>
            <w:vAlign w:val="bottom"/>
            <w:gridSpan w:val="2"/>
          </w:tcPr>
          <w:p>
            <w:pPr>
              <w:ind w:left="20"/>
              <w:spacing w:after="0" w:line="107" w:lineRule="exact"/>
              <w:rPr>
                <w:sz w:val="20"/>
                <w:szCs w:val="20"/>
                <w:color w:val="auto"/>
              </w:rPr>
            </w:pPr>
            <w:r>
              <w:rPr>
                <w:rFonts w:ascii="Arial" w:cs="Arial" w:eastAsia="Arial" w:hAnsi="Arial"/>
                <w:sz w:val="12"/>
                <w:szCs w:val="12"/>
                <w:color w:val="auto"/>
              </w:rPr>
              <w:t>Services</w:t>
            </w:r>
          </w:p>
        </w:tc>
        <w:tc>
          <w:tcPr>
            <w:tcW w:w="1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ind w:left="100"/>
              <w:spacing w:after="0" w:line="107" w:lineRule="exact"/>
              <w:rPr>
                <w:sz w:val="20"/>
                <w:szCs w:val="20"/>
                <w:color w:val="auto"/>
              </w:rPr>
            </w:pPr>
            <w:r>
              <w:rPr>
                <w:rFonts w:ascii="Arial" w:cs="Arial" w:eastAsia="Arial" w:hAnsi="Arial"/>
                <w:sz w:val="12"/>
                <w:szCs w:val="12"/>
                <w:color w:val="auto"/>
              </w:rPr>
              <w:t>•</w:t>
            </w:r>
          </w:p>
        </w:tc>
        <w:tc>
          <w:tcPr>
            <w:tcW w:w="2300" w:type="dxa"/>
            <w:vAlign w:val="bottom"/>
            <w:gridSpan w:val="2"/>
          </w:tcPr>
          <w:p>
            <w:pPr>
              <w:ind w:left="100"/>
              <w:spacing w:after="0" w:line="107" w:lineRule="exact"/>
              <w:rPr>
                <w:sz w:val="20"/>
                <w:szCs w:val="20"/>
                <w:color w:val="auto"/>
              </w:rPr>
            </w:pPr>
            <w:r>
              <w:rPr>
                <w:rFonts w:ascii="Arial" w:cs="Arial" w:eastAsia="Arial" w:hAnsi="Arial"/>
                <w:sz w:val="12"/>
                <w:szCs w:val="12"/>
                <w:color w:val="auto"/>
              </w:rPr>
              <w:t>Controls</w:t>
            </w:r>
          </w:p>
        </w:tc>
        <w:tc>
          <w:tcPr>
            <w:tcW w:w="200" w:type="dxa"/>
            <w:vAlign w:val="bottom"/>
          </w:tcPr>
          <w:p>
            <w:pPr>
              <w:spacing w:after="0"/>
              <w:rPr>
                <w:sz w:val="9"/>
                <w:szCs w:val="9"/>
                <w:color w:val="auto"/>
              </w:rPr>
            </w:pPr>
          </w:p>
        </w:tc>
        <w:tc>
          <w:tcPr>
            <w:tcW w:w="1920" w:type="dxa"/>
            <w:vAlign w:val="bottom"/>
            <w:vMerge w:val="restart"/>
          </w:tcPr>
          <w:p>
            <w:pPr>
              <w:ind w:left="140"/>
              <w:spacing w:after="0" w:line="188"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80"/>
        </w:trPr>
        <w:tc>
          <w:tcPr>
            <w:tcW w:w="15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restart"/>
          </w:tcPr>
          <w:p>
            <w:pPr>
              <w:ind w:left="100"/>
              <w:spacing w:after="0" w:line="160"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line="160" w:lineRule="exact"/>
              <w:rPr>
                <w:sz w:val="20"/>
                <w:szCs w:val="20"/>
                <w:color w:val="auto"/>
              </w:rPr>
            </w:pPr>
            <w:r>
              <w:rPr>
                <w:rFonts w:ascii="Arial" w:cs="Arial" w:eastAsia="Arial" w:hAnsi="Arial"/>
                <w:sz w:val="18"/>
                <w:szCs w:val="18"/>
                <w:color w:val="auto"/>
              </w:rPr>
              <w:t>Dispensing</w:t>
            </w:r>
          </w:p>
        </w:tc>
        <w:tc>
          <w:tcPr>
            <w:tcW w:w="20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2120" w:type="dxa"/>
            <w:vAlign w:val="bottom"/>
            <w:gridSpan w:val="2"/>
            <w:vMerge w:val="restart"/>
          </w:tcPr>
          <w:p>
            <w:pPr>
              <w:ind w:left="20"/>
              <w:spacing w:after="0"/>
              <w:rPr>
                <w:sz w:val="20"/>
                <w:szCs w:val="20"/>
                <w:color w:val="auto"/>
              </w:rPr>
            </w:pPr>
            <w:r>
              <w:rPr>
                <w:rFonts w:ascii="Arial" w:cs="Arial" w:eastAsia="Arial" w:hAnsi="Arial"/>
                <w:sz w:val="17"/>
                <w:szCs w:val="17"/>
                <w:color w:val="auto"/>
              </w:rPr>
              <w:t>Industrial Water</w:t>
            </w:r>
          </w:p>
        </w:tc>
        <w:tc>
          <w:tcPr>
            <w:tcW w:w="120" w:type="dxa"/>
            <w:vAlign w:val="bottom"/>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2300" w:type="dxa"/>
            <w:vAlign w:val="bottom"/>
            <w:gridSpan w:val="2"/>
            <w:vMerge w:val="continue"/>
          </w:tcPr>
          <w:p>
            <w:pPr>
              <w:spacing w:after="0"/>
              <w:rPr>
                <w:sz w:val="7"/>
                <w:szCs w:val="7"/>
                <w:color w:val="auto"/>
              </w:rPr>
            </w:pPr>
          </w:p>
        </w:tc>
        <w:tc>
          <w:tcPr>
            <w:tcW w:w="2120" w:type="dxa"/>
            <w:vAlign w:val="bottom"/>
            <w:gridSpan w:val="2"/>
            <w:vMerge w:val="restart"/>
          </w:tcPr>
          <w:p>
            <w:pPr>
              <w:ind w:left="100"/>
              <w:spacing w:after="0"/>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ind w:left="120"/>
              <w:spacing w:after="0" w:line="142" w:lineRule="exact"/>
              <w:rPr>
                <w:sz w:val="20"/>
                <w:szCs w:val="20"/>
                <w:color w:val="auto"/>
              </w:rPr>
            </w:pPr>
            <w:r>
              <w:rPr>
                <w:rFonts w:ascii="Arial" w:cs="Arial" w:eastAsia="Arial" w:hAnsi="Arial"/>
                <w:sz w:val="16"/>
                <w:szCs w:val="16"/>
                <w:color w:val="auto"/>
              </w:rPr>
              <w:t>equipment systems</w:t>
            </w:r>
          </w:p>
        </w:tc>
        <w:tc>
          <w:tcPr>
            <w:tcW w:w="2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ind w:left="100"/>
              <w:spacing w:after="0" w:line="87" w:lineRule="exact"/>
              <w:rPr>
                <w:sz w:val="20"/>
                <w:szCs w:val="20"/>
                <w:color w:val="auto"/>
              </w:rPr>
            </w:pPr>
            <w:r>
              <w:rPr>
                <w:rFonts w:ascii="Arial" w:cs="Arial" w:eastAsia="Arial" w:hAnsi="Arial"/>
                <w:sz w:val="10"/>
                <w:szCs w:val="10"/>
                <w:color w:val="auto"/>
              </w:rPr>
              <w:t>•</w:t>
            </w:r>
          </w:p>
        </w:tc>
        <w:tc>
          <w:tcPr>
            <w:tcW w:w="1920" w:type="dxa"/>
            <w:vAlign w:val="bottom"/>
          </w:tcPr>
          <w:p>
            <w:pPr>
              <w:ind w:left="100"/>
              <w:spacing w:after="0" w:line="87" w:lineRule="exact"/>
              <w:rPr>
                <w:sz w:val="20"/>
                <w:szCs w:val="20"/>
                <w:color w:val="auto"/>
              </w:rPr>
            </w:pPr>
            <w:r>
              <w:rPr>
                <w:rFonts w:ascii="Arial" w:cs="Arial" w:eastAsia="Arial" w:hAnsi="Arial"/>
                <w:sz w:val="10"/>
                <w:szCs w:val="10"/>
                <w:color w:val="auto"/>
              </w:rPr>
              <w:t>Lowara</w:t>
            </w: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Standard</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ind w:left="140"/>
              <w:spacing w:after="0" w:line="154" w:lineRule="exact"/>
              <w:rPr>
                <w:sz w:val="20"/>
                <w:szCs w:val="20"/>
                <w:color w:val="auto"/>
              </w:rPr>
            </w:pPr>
            <w:r>
              <w:rPr>
                <w:rFonts w:ascii="Arial" w:cs="Arial" w:eastAsia="Arial" w:hAnsi="Arial"/>
                <w:sz w:val="17"/>
                <w:szCs w:val="17"/>
                <w:color w:val="auto"/>
              </w:rPr>
              <w:t>Xchange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1920" w:type="dxa"/>
            <w:vAlign w:val="bottom"/>
          </w:tcPr>
          <w:p>
            <w:pPr>
              <w:ind w:left="100"/>
              <w:spacing w:after="0"/>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698"/>
        </w:trPr>
        <w:tc>
          <w:tcPr>
            <w:tcW w:w="154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auto"/>
              </w:rPr>
              <w:t>Water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Smart meters</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540" w:type="dxa"/>
            <w:vAlign w:val="bottom"/>
            <w:vMerge w:val="restart"/>
          </w:tcPr>
          <w:p>
            <w:pPr>
              <w:jc w:val="center"/>
              <w:ind w:right="116"/>
              <w:spacing w:after="0"/>
              <w:rPr>
                <w:sz w:val="20"/>
                <w:szCs w:val="20"/>
                <w:color w:val="auto"/>
              </w:rPr>
            </w:pPr>
            <w:r>
              <w:rPr>
                <w:rFonts w:ascii="Arial" w:cs="Arial" w:eastAsia="Arial" w:hAnsi="Arial"/>
                <w:sz w:val="18"/>
                <w:szCs w:val="18"/>
                <w:b w:val="1"/>
                <w:bCs w:val="1"/>
                <w:color w:val="auto"/>
                <w:w w:val="99"/>
              </w:rPr>
              <w:t>Measurement &amp;</w:t>
            </w:r>
          </w:p>
        </w:tc>
        <w:tc>
          <w:tcPr>
            <w:tcW w:w="2120" w:type="dxa"/>
            <w:vAlign w:val="bottom"/>
            <w:gridSpan w:val="2"/>
            <w:vMerge w:val="restart"/>
          </w:tcPr>
          <w:p>
            <w:pPr>
              <w:ind w:left="20"/>
              <w:spacing w:after="0"/>
              <w:rPr>
                <w:sz w:val="20"/>
                <w:szCs w:val="20"/>
                <w:color w:val="auto"/>
              </w:rPr>
            </w:pPr>
            <w:r>
              <w:rPr>
                <w:rFonts w:ascii="Arial" w:cs="Arial" w:eastAsia="Arial" w:hAnsi="Arial"/>
                <w:sz w:val="17"/>
                <w:szCs w:val="17"/>
                <w:color w:val="auto"/>
              </w:rPr>
              <w:t>Energy</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2"/>
                <w:szCs w:val="12"/>
                <w:color w:val="auto"/>
              </w:rPr>
            </w:pPr>
          </w:p>
        </w:tc>
        <w:tc>
          <w:tcPr>
            <w:tcW w:w="220" w:type="dxa"/>
            <w:vAlign w:val="bottom"/>
          </w:tcPr>
          <w:p>
            <w:pPr>
              <w:ind w:left="100"/>
              <w:spacing w:after="0" w:line="147" w:lineRule="exact"/>
              <w:rPr>
                <w:sz w:val="20"/>
                <w:szCs w:val="20"/>
                <w:color w:val="auto"/>
              </w:rPr>
            </w:pPr>
            <w:r>
              <w:rPr>
                <w:rFonts w:ascii="Arial" w:cs="Arial" w:eastAsia="Arial" w:hAnsi="Arial"/>
                <w:sz w:val="17"/>
                <w:szCs w:val="17"/>
                <w:color w:val="auto"/>
              </w:rPr>
              <w:t>•</w:t>
            </w:r>
          </w:p>
        </w:tc>
        <w:tc>
          <w:tcPr>
            <w:tcW w:w="2300" w:type="dxa"/>
            <w:vAlign w:val="bottom"/>
            <w:gridSpan w:val="2"/>
          </w:tcPr>
          <w:p>
            <w:pPr>
              <w:ind w:left="100"/>
              <w:spacing w:after="0" w:line="147" w:lineRule="exact"/>
              <w:rPr>
                <w:sz w:val="20"/>
                <w:szCs w:val="20"/>
                <w:color w:val="auto"/>
              </w:rPr>
            </w:pPr>
            <w:r>
              <w:rPr>
                <w:rFonts w:ascii="Arial" w:cs="Arial" w:eastAsia="Arial" w:hAnsi="Arial"/>
                <w:sz w:val="17"/>
                <w:szCs w:val="17"/>
                <w:color w:val="auto"/>
              </w:rPr>
              <w:t>Networked</w:t>
            </w:r>
          </w:p>
        </w:tc>
        <w:tc>
          <w:tcPr>
            <w:tcW w:w="2120" w:type="dxa"/>
            <w:vAlign w:val="bottom"/>
            <w:gridSpan w:val="2"/>
            <w:vMerge w:val="restart"/>
          </w:tcPr>
          <w:p>
            <w:pPr>
              <w:ind w:left="100"/>
              <w:spacing w:after="0"/>
              <w:rPr>
                <w:sz w:val="20"/>
                <w:szCs w:val="20"/>
                <w:color w:val="auto"/>
              </w:rPr>
            </w:pPr>
            <w:r>
              <w:rPr>
                <w:rFonts w:ascii="Arial" w:cs="Arial" w:eastAsia="Arial" w:hAnsi="Arial"/>
                <w:sz w:val="18"/>
                <w:szCs w:val="18"/>
                <w:color w:val="auto"/>
              </w:rPr>
              <w:t>• Pure</w:t>
            </w:r>
          </w:p>
        </w:tc>
        <w:tc>
          <w:tcPr>
            <w:tcW w:w="0" w:type="dxa"/>
            <w:vAlign w:val="bottom"/>
          </w:tcPr>
          <w:p>
            <w:pPr>
              <w:spacing w:after="0"/>
              <w:rPr>
                <w:sz w:val="1"/>
                <w:szCs w:val="1"/>
                <w:color w:val="auto"/>
              </w:rPr>
            </w:pPr>
          </w:p>
        </w:tc>
      </w:tr>
      <w:tr>
        <w:trPr>
          <w:trHeight w:val="67"/>
        </w:trPr>
        <w:tc>
          <w:tcPr>
            <w:tcW w:w="1540" w:type="dxa"/>
            <w:vAlign w:val="bottom"/>
            <w:vMerge w:val="continue"/>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00" w:type="dxa"/>
            <w:vAlign w:val="bottom"/>
            <w:gridSpan w:val="2"/>
            <w:vMerge w:val="restart"/>
          </w:tcPr>
          <w:p>
            <w:pPr>
              <w:ind w:left="120"/>
              <w:spacing w:after="0" w:line="162" w:lineRule="exact"/>
              <w:rPr>
                <w:sz w:val="20"/>
                <w:szCs w:val="20"/>
                <w:color w:val="auto"/>
              </w:rPr>
            </w:pPr>
            <w:r>
              <w:rPr>
                <w:rFonts w:ascii="Arial" w:cs="Arial" w:eastAsia="Arial" w:hAnsi="Arial"/>
                <w:sz w:val="18"/>
                <w:szCs w:val="18"/>
                <w:color w:val="auto"/>
              </w:rPr>
              <w:t>communication devices</w:t>
            </w:r>
          </w:p>
        </w:tc>
        <w:tc>
          <w:tcPr>
            <w:tcW w:w="2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0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Sensus</w:t>
            </w:r>
          </w:p>
        </w:tc>
        <w:tc>
          <w:tcPr>
            <w:tcW w:w="0" w:type="dxa"/>
            <w:vAlign w:val="bottom"/>
          </w:tcPr>
          <w:p>
            <w:pPr>
              <w:spacing w:after="0"/>
              <w:rPr>
                <w:sz w:val="1"/>
                <w:szCs w:val="1"/>
                <w:color w:val="auto"/>
              </w:rPr>
            </w:pPr>
          </w:p>
        </w:tc>
      </w:tr>
      <w:tr>
        <w:trPr>
          <w:trHeight w:val="53"/>
        </w:trPr>
        <w:tc>
          <w:tcPr>
            <w:tcW w:w="1540" w:type="dxa"/>
            <w:vAlign w:val="bottom"/>
            <w:vMerge w:val="restart"/>
          </w:tcPr>
          <w:p>
            <w:pPr>
              <w:jc w:val="center"/>
              <w:ind w:right="96"/>
              <w:spacing w:after="0"/>
              <w:rPr>
                <w:sz w:val="20"/>
                <w:szCs w:val="20"/>
                <w:color w:val="auto"/>
              </w:rPr>
            </w:pPr>
            <w:r>
              <w:rPr>
                <w:rFonts w:ascii="Arial" w:cs="Arial" w:eastAsia="Arial" w:hAnsi="Arial"/>
                <w:sz w:val="18"/>
                <w:szCs w:val="18"/>
                <w:b w:val="1"/>
                <w:bCs w:val="1"/>
                <w:color w:val="auto"/>
                <w:w w:val="99"/>
              </w:rPr>
              <w:t>Control</w:t>
            </w: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4"/>
                <w:szCs w:val="4"/>
                <w:color w:val="auto"/>
              </w:rPr>
            </w:pPr>
          </w:p>
        </w:tc>
        <w:tc>
          <w:tcPr>
            <w:tcW w:w="220" w:type="dxa"/>
            <w:vAlign w:val="bottom"/>
            <w:vMerge w:val="restart"/>
          </w:tcPr>
          <w:p>
            <w:pPr>
              <w:ind w:left="100"/>
              <w:spacing w:after="0" w:line="201"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40"/>
              <w:spacing w:after="0" w:line="201" w:lineRule="exact"/>
              <w:rPr>
                <w:sz w:val="20"/>
                <w:szCs w:val="20"/>
                <w:color w:val="auto"/>
              </w:rPr>
            </w:pPr>
            <w:r>
              <w:rPr>
                <w:rFonts w:ascii="Arial" w:cs="Arial" w:eastAsia="Arial" w:hAnsi="Arial"/>
                <w:sz w:val="18"/>
                <w:szCs w:val="18"/>
                <w:color w:val="auto"/>
              </w:rPr>
              <w:t>Data analytics</w:t>
            </w:r>
          </w:p>
        </w:tc>
        <w:tc>
          <w:tcPr>
            <w:tcW w:w="200" w:type="dxa"/>
            <w:vAlign w:val="bottom"/>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4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200" w:type="dxa"/>
            <w:vAlign w:val="bottom"/>
          </w:tcPr>
          <w:p>
            <w:pPr>
              <w:ind w:left="100"/>
              <w:spacing w:after="0" w:line="162" w:lineRule="exact"/>
              <w:rPr>
                <w:sz w:val="20"/>
                <w:szCs w:val="20"/>
                <w:color w:val="auto"/>
              </w:rPr>
            </w:pPr>
            <w:r>
              <w:rPr>
                <w:rFonts w:ascii="Arial" w:cs="Arial" w:eastAsia="Arial" w:hAnsi="Arial"/>
                <w:sz w:val="18"/>
                <w:szCs w:val="18"/>
                <w:color w:val="auto"/>
              </w:rPr>
              <w:t>•</w:t>
            </w:r>
          </w:p>
        </w:tc>
        <w:tc>
          <w:tcPr>
            <w:tcW w:w="1920" w:type="dxa"/>
            <w:vAlign w:val="bottom"/>
          </w:tcPr>
          <w:p>
            <w:pPr>
              <w:ind w:left="60"/>
              <w:spacing w:after="0" w:line="162" w:lineRule="exact"/>
              <w:rPr>
                <w:sz w:val="20"/>
                <w:szCs w:val="20"/>
                <w:color w:val="auto"/>
              </w:rPr>
            </w:pPr>
            <w:r>
              <w:rPr>
                <w:rFonts w:ascii="Arial" w:cs="Arial" w:eastAsia="Arial" w:hAnsi="Arial"/>
                <w:sz w:val="18"/>
                <w:szCs w:val="18"/>
                <w:color w:val="auto"/>
              </w:rPr>
              <w:t>Smith Blair</w:t>
            </w:r>
          </w:p>
        </w:tc>
        <w:tc>
          <w:tcPr>
            <w:tcW w:w="0" w:type="dxa"/>
            <w:vAlign w:val="bottom"/>
          </w:tcPr>
          <w:p>
            <w:pPr>
              <w:spacing w:after="0"/>
              <w:rPr>
                <w:sz w:val="1"/>
                <w:szCs w:val="1"/>
                <w:color w:val="auto"/>
              </w:rPr>
            </w:pPr>
          </w:p>
        </w:tc>
      </w:tr>
      <w:tr>
        <w:trPr>
          <w:trHeight w:val="27"/>
        </w:trPr>
        <w:tc>
          <w:tcPr>
            <w:tcW w:w="1540" w:type="dxa"/>
            <w:vAlign w:val="bottom"/>
            <w:vMerge w:val="restart"/>
          </w:tcPr>
          <w:p>
            <w:pPr>
              <w:jc w:val="center"/>
              <w:ind w:right="116"/>
              <w:spacing w:after="0" w:line="93" w:lineRule="exact"/>
              <w:rPr>
                <w:sz w:val="20"/>
                <w:szCs w:val="20"/>
                <w:color w:val="auto"/>
              </w:rPr>
            </w:pPr>
            <w:r>
              <w:rPr>
                <w:rFonts w:ascii="Arial" w:cs="Arial" w:eastAsia="Arial" w:hAnsi="Arial"/>
                <w:sz w:val="10"/>
                <w:szCs w:val="10"/>
                <w:b w:val="1"/>
                <w:bCs w:val="1"/>
                <w:color w:val="auto"/>
              </w:rPr>
              <w:t>Solutions</w:t>
            </w: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vMerge w:val="restart"/>
          </w:tcPr>
          <w:p>
            <w:pPr>
              <w:ind w:left="100"/>
              <w:spacing w:after="0" w:line="93" w:lineRule="exact"/>
              <w:rPr>
                <w:sz w:val="20"/>
                <w:szCs w:val="20"/>
                <w:color w:val="auto"/>
              </w:rPr>
            </w:pPr>
            <w:r>
              <w:rPr>
                <w:rFonts w:ascii="Arial" w:cs="Arial" w:eastAsia="Arial" w:hAnsi="Arial"/>
                <w:sz w:val="10"/>
                <w:szCs w:val="10"/>
                <w:color w:val="auto"/>
              </w:rPr>
              <w:t>•</w:t>
            </w:r>
          </w:p>
        </w:tc>
        <w:tc>
          <w:tcPr>
            <w:tcW w:w="2300" w:type="dxa"/>
            <w:vAlign w:val="bottom"/>
            <w:gridSpan w:val="2"/>
            <w:vMerge w:val="restart"/>
          </w:tcPr>
          <w:p>
            <w:pPr>
              <w:ind w:left="100"/>
              <w:spacing w:after="0" w:line="93" w:lineRule="exact"/>
              <w:rPr>
                <w:sz w:val="20"/>
                <w:szCs w:val="20"/>
                <w:color w:val="auto"/>
              </w:rPr>
            </w:pPr>
            <w:r>
              <w:rPr>
                <w:rFonts w:ascii="Arial" w:cs="Arial" w:eastAsia="Arial" w:hAnsi="Arial"/>
                <w:sz w:val="10"/>
                <w:szCs w:val="10"/>
                <w:color w:val="auto"/>
              </w:rPr>
              <w:t>Test equipment</w:t>
            </w:r>
          </w:p>
        </w:tc>
        <w:tc>
          <w:tcPr>
            <w:tcW w:w="200" w:type="dxa"/>
            <w:vAlign w:val="bottom"/>
            <w:vMerge w:val="restart"/>
          </w:tcPr>
          <w:p>
            <w:pPr>
              <w:ind w:left="100"/>
              <w:spacing w:after="0" w:line="160" w:lineRule="exact"/>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line="160" w:lineRule="exact"/>
              <w:rPr>
                <w:sz w:val="20"/>
                <w:szCs w:val="20"/>
                <w:color w:val="auto"/>
              </w:rPr>
            </w:pPr>
            <w:r>
              <w:rPr>
                <w:rFonts w:ascii="Arial" w:cs="Arial" w:eastAsia="Arial" w:hAnsi="Arial"/>
                <w:sz w:val="18"/>
                <w:szCs w:val="18"/>
                <w:color w:val="auto"/>
              </w:rPr>
              <w:t>WTW</w:t>
            </w:r>
          </w:p>
        </w:tc>
        <w:tc>
          <w:tcPr>
            <w:tcW w:w="0" w:type="dxa"/>
            <w:vAlign w:val="bottom"/>
          </w:tcPr>
          <w:p>
            <w:pPr>
              <w:spacing w:after="0"/>
              <w:rPr>
                <w:sz w:val="1"/>
                <w:szCs w:val="1"/>
                <w:color w:val="auto"/>
              </w:rPr>
            </w:pPr>
          </w:p>
        </w:tc>
      </w:tr>
      <w:tr>
        <w:trPr>
          <w:trHeight w:val="46"/>
        </w:trPr>
        <w:tc>
          <w:tcPr>
            <w:tcW w:w="1540" w:type="dxa"/>
            <w:vAlign w:val="bottom"/>
            <w:vMerge w:val="continue"/>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5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line="175" w:lineRule="exact"/>
              <w:rPr>
                <w:sz w:val="20"/>
                <w:szCs w:val="20"/>
                <w:color w:val="auto"/>
              </w:rPr>
            </w:pPr>
            <w:r>
              <w:rPr>
                <w:rFonts w:ascii="Arial" w:cs="Arial" w:eastAsia="Arial" w:hAnsi="Arial"/>
                <w:sz w:val="18"/>
                <w:szCs w:val="18"/>
                <w:color w:val="auto"/>
              </w:rPr>
              <w:t>Controls</w:t>
            </w:r>
          </w:p>
        </w:tc>
        <w:tc>
          <w:tcPr>
            <w:tcW w:w="20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YSI</w:t>
            </w:r>
          </w:p>
        </w:tc>
        <w:tc>
          <w:tcPr>
            <w:tcW w:w="0" w:type="dxa"/>
            <w:vAlign w:val="bottom"/>
          </w:tcPr>
          <w:p>
            <w:pPr>
              <w:spacing w:after="0"/>
              <w:rPr>
                <w:sz w:val="1"/>
                <w:szCs w:val="1"/>
                <w:color w:val="auto"/>
              </w:rPr>
            </w:pPr>
          </w:p>
        </w:tc>
      </w:tr>
      <w:tr>
        <w:trPr>
          <w:trHeight w:val="67"/>
        </w:trPr>
        <w:tc>
          <w:tcPr>
            <w:tcW w:w="15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line="175" w:lineRule="exact"/>
              <w:rPr>
                <w:sz w:val="20"/>
                <w:szCs w:val="20"/>
                <w:color w:val="auto"/>
              </w:rPr>
            </w:pPr>
            <w:r>
              <w:rPr>
                <w:rFonts w:ascii="Arial" w:cs="Arial" w:eastAsia="Arial" w:hAnsi="Arial"/>
                <w:sz w:val="18"/>
                <w:szCs w:val="18"/>
                <w:color w:val="auto"/>
              </w:rPr>
              <w:t>Sensor devices</w:t>
            </w:r>
          </w:p>
        </w:tc>
        <w:tc>
          <w:tcPr>
            <w:tcW w:w="200" w:type="dxa"/>
            <w:vAlign w:val="bottom"/>
            <w:vMerge w:val="continue"/>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ind w:left="100"/>
              <w:spacing w:after="0"/>
              <w:rPr>
                <w:sz w:val="20"/>
                <w:szCs w:val="20"/>
                <w:color w:val="auto"/>
              </w:rPr>
            </w:pPr>
            <w:r>
              <w:rPr>
                <w:rFonts w:ascii="Arial" w:cs="Arial" w:eastAsia="Arial" w:hAnsi="Arial"/>
                <w:sz w:val="18"/>
                <w:szCs w:val="18"/>
                <w:color w:val="auto"/>
              </w:rPr>
              <w:t>Xylem Vue</w:t>
            </w:r>
          </w:p>
        </w:tc>
        <w:tc>
          <w:tcPr>
            <w:tcW w:w="0" w:type="dxa"/>
            <w:vAlign w:val="bottom"/>
          </w:tcPr>
          <w:p>
            <w:pPr>
              <w:spacing w:after="0"/>
              <w:rPr>
                <w:sz w:val="1"/>
                <w:szCs w:val="1"/>
                <w:color w:val="auto"/>
              </w:rPr>
            </w:pPr>
          </w:p>
        </w:tc>
      </w:tr>
      <w:tr>
        <w:trPr>
          <w:trHeight w:val="109"/>
        </w:trPr>
        <w:tc>
          <w:tcPr>
            <w:tcW w:w="15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restart"/>
          </w:tcPr>
          <w:p>
            <w:pPr>
              <w:ind w:left="100"/>
              <w:spacing w:after="0" w:line="175"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100"/>
              <w:spacing w:after="0" w:line="175" w:lineRule="exact"/>
              <w:rPr>
                <w:sz w:val="20"/>
                <w:szCs w:val="20"/>
                <w:color w:val="auto"/>
              </w:rPr>
            </w:pPr>
            <w:r>
              <w:rPr>
                <w:rFonts w:ascii="Arial" w:cs="Arial" w:eastAsia="Arial" w:hAnsi="Arial"/>
                <w:sz w:val="18"/>
                <w:szCs w:val="18"/>
                <w:color w:val="auto"/>
              </w:rPr>
              <w:t>Software &amp; managed</w:t>
            </w:r>
          </w:p>
        </w:tc>
        <w:tc>
          <w:tcPr>
            <w:tcW w:w="20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5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940"/>
        <w:spacing w:after="0" w:line="202" w:lineRule="auto"/>
        <w:rPr>
          <w:sz w:val="20"/>
          <w:szCs w:val="20"/>
          <w:color w:val="auto"/>
        </w:rPr>
      </w:pPr>
      <w:r>
        <w:rPr>
          <w:rFonts w:ascii="Arial" w:cs="Arial" w:eastAsia="Arial" w:hAnsi="Arial"/>
          <w:sz w:val="18"/>
          <w:szCs w:val="18"/>
          <w:color w:val="auto"/>
        </w:rPr>
        <w:t>services</w:t>
      </w:r>
    </w:p>
    <w:p>
      <w:pPr>
        <w:ind w:left="6700"/>
        <w:spacing w:after="0" w:line="203" w:lineRule="auto"/>
        <w:rPr>
          <w:sz w:val="20"/>
          <w:szCs w:val="20"/>
          <w:color w:val="auto"/>
        </w:rPr>
      </w:pPr>
      <w:r>
        <w:rPr>
          <w:rFonts w:ascii="Arial" w:cs="Arial" w:eastAsia="Arial" w:hAnsi="Arial"/>
          <w:sz w:val="18"/>
          <w:szCs w:val="18"/>
          <w:color w:val="auto"/>
        </w:rPr>
        <w:t>• Critical infrastructure</w:t>
      </w:r>
    </w:p>
    <w:p>
      <w:pPr>
        <w:ind w:left="6940"/>
        <w:spacing w:after="0"/>
        <w:rPr>
          <w:sz w:val="20"/>
          <w:szCs w:val="20"/>
          <w:color w:val="auto"/>
        </w:rPr>
      </w:pPr>
      <w:r>
        <w:rPr>
          <w:rFonts w:ascii="Arial" w:cs="Arial" w:eastAsia="Arial" w:hAnsi="Arial"/>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3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Water Infrastructure segment primarily supports the process that collects water from a source, treats it and distributes it to users, and then treats and returns the wastewater responsibly to the environment through two closely linked applications: Transport and Treatment. The Transport application also includes sales and rental of specialty dewatering pumps and related equipment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114"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that require similar water and wastewater infrastructure networks to support various industrial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 w:name="page8"/>
    <w:bookmarkEnd w:id="7"/>
    <w:p>
      <w:pPr>
        <w:spacing w:after="0" w:line="223" w:lineRule="auto"/>
        <w:rPr>
          <w:sz w:val="20"/>
          <w:szCs w:val="20"/>
          <w:color w:val="auto"/>
        </w:rPr>
      </w:pPr>
      <w:r>
        <w:rPr>
          <w:rFonts w:ascii="Arial" w:cs="Arial" w:eastAsia="Arial" w:hAnsi="Arial"/>
          <w:sz w:val="18"/>
          <w:szCs w:val="18"/>
          <w:color w:val="auto"/>
        </w:rPr>
        <w:t>Water Infrastructure sells primarily through direct channels with remaining sales through indirect channels and service capabilities. Both utility and industrial facility customers increasingly require our teams’ global but locally proficient expertise to use our equipment in their specific applications. Several trends are increasing demand for this application expertise: (i) the increase in both the type and amount of contaminants found in the water supply, (ii) increasing environmental regulations, (iii) the need to increase system efficiencies and resilience to optimize energy and other operational costs, (iv) the retirement of an aging water industry workforce that has not been systematically renewed at utilities and other end-user customers, and (v) the build-out of water infrastructure in the emerging markets.</w:t>
      </w:r>
    </w:p>
    <w:p>
      <w:pPr>
        <w:spacing w:after="0" w:line="10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proximity of service centers, effectiveness of our distribution channels, price and customers' experience in doing business with us. Increasingly digital solutions and analytics are important competitive differentiators. We are actively expanding our capabilities in these areas and integrating them together with our legacy technologies and service offerings as well as capabilities from other Xylem business units to present ever more compelling solutions to our customers. In the sale or rental of products and provision of services, we benefit from our large installed base, which requires maintenance, repair and replacement parts due to the critical application and nature of the products and the conditions under which they operate. Timeliness of delivery, quality and the proximity of service centers are important customer considerations when selecting a provider for after-market products and services as well as equipment rentals. In geographic regions where we are locally positioned to provide a quick response, customers have historically relied on us, rather than our competitors, for after-market products relating to our highly engineered and customized solutions. Our key competitors in the Water Infrastructure segment include KSB Inc., Sulzer Ltd., Evoqua Water Technologies, United Rentals, Trojan (Danaher Corporation) and Grundfos.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Applied Water encompasses the uses of water in two primary applications: Building Services and Industrial Water. These applications serve a diverse set of customers in the commercial, residential and industrial end markets. Residential consumers represent the end users in the residential market, while owners and managers of properties such as apartment buildings, retail stores, institutional buildings, restaurants, schools/universities, hospitals and hotels are examples of end users in the commercial market. The industrial market includes OEMs, exploration and production firms, and developers and managers of industrial facilities, such as electrical power generators, chemical manufacturers, machine shops, clothing manufacturers, marine, food and beverage companies and car washes.</w:t>
      </w:r>
    </w:p>
    <w:p>
      <w:pPr>
        <w:spacing w:after="0" w:line="9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9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Population growth, urbanization regulatory requirements on energy efficiency and eco-friendly buildings are macro growth drivers of these markets, driving the need for housing, food, community services and retail goods within growing city centers.</w:t>
      </w:r>
    </w:p>
    <w:p>
      <w:pPr>
        <w:spacing w:after="0" w:line="22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and reliability, and price. We compete by offering a wide variety of innovative and high-quality products, coupled with world-class application expertise. We believe our distribution through well-established channels and our reputation for quality significantly enhance our market position. Our ability to deliver innovative product offerings has enabled us to compete effectively, to cultivate and maintain customer relationships and to serve and expand into many niche and new markets. Our key competitors in the Applied Water segment include Grundfos, Wilo SE, Pentair plc and Franklin Electric Co.,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&amp; Control Solutions</w:t>
      </w:r>
    </w:p>
    <w:p>
      <w:pPr>
        <w:spacing w:after="0" w:line="13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Measurement &amp; Control Solutions develops advanced technology solutions that enable intelligent use and conservation of critical water and energy resources. The segment delivers 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ind w:right="320"/>
        <w:spacing w:after="0" w:line="254" w:lineRule="auto"/>
        <w:rPr>
          <w:sz w:val="20"/>
          <w:szCs w:val="20"/>
          <w:color w:val="auto"/>
        </w:rPr>
      </w:pPr>
      <w:r>
        <w:rPr>
          <w:rFonts w:ascii="Arial" w:cs="Arial" w:eastAsia="Arial" w:hAnsi="Arial"/>
          <w:sz w:val="18"/>
          <w:szCs w:val="18"/>
          <w:color w:val="auto"/>
        </w:rPr>
        <w:t>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w:t>
      </w:r>
    </w:p>
    <w:p>
      <w:pPr>
        <w:spacing w:after="0" w:line="95"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At the heart of our leading technologies are automation, data management and decision support. Communications networks enable customers to automate and optimize meter reading, bill customers, monitor flow rates and detect and enable rapid response to changing and unsafe conditions. In short, they provide insight into operations and enable our customers to manage the entire scope of their operations remotely through their networks. At the center of our offering is the FlexNet communication network, which provides a common communications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and energy distribution infrastructure, prioritize and manage maintenance, and use data to optimize many aspects of their networks. Our Advanced Infrastructure Analytics platform complements these offerings with intelligent solutions that help utility decision-makers manage and maintain their networks more effectively in real time.</w:t>
      </w:r>
    </w:p>
    <w:p>
      <w:pPr>
        <w:spacing w:after="0" w:line="101"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majority of our sales in the U.S. are conducted through strong, long-standing relationships with leading distributors and dedicated channel partners for the water and energy markets. Internationally, direct sales are often made in markets without established distribution channels; however, some distribution channels are used in more developed markets. A more direct sales approach, with key account management, is employed for large utilities and government programs.</w:t>
      </w:r>
    </w:p>
    <w:p>
      <w:pPr>
        <w:spacing w:after="0" w:line="98"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Macro growth drivers include increasing regulation, aging infrastructure and worldwide movement towards smart grid implementation. Water scarcity and conservation, as well as the need to prevent revenue loss (via inaccurate meter readings, leaks or theft) are among the drivers of smart meter and leak detection technologies.</w:t>
      </w:r>
    </w:p>
    <w:p>
      <w:pPr>
        <w:spacing w:after="0" w:line="9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Our Sensus-branded meters are well positioned in the smart metering sector, the fastest growing sector of the global meter industry. We set ourselves apart in the industry by focusing on our communication network, innovation, new product development and service offerings that deliver tangible savings of non-revenue water through improved meter accuracy, reduced theft and identification of leaks. Our Pure Technologies equipment and services are also well positioned in the leak detection sector, which is attracting considerable attention as aging infrastructure and increased regulatory scrutiny exert pressure on operating budgets. Our key competitors in the Measurement &amp; Control Solutions segment include Itron, Badger Meter, Landis+Gyr, Neptune (Roper), Elster (Honeywell), Echologics (Mueller Water Products), Hach (Danaher Corporation) and Teledyne.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Profile</w:t>
      </w:r>
    </w:p>
    <w:p>
      <w:pPr>
        <w:spacing w:after="0" w:line="137" w:lineRule="exact"/>
        <w:rPr>
          <w:sz w:val="20"/>
          <w:szCs w:val="20"/>
          <w:color w:val="auto"/>
        </w:rPr>
      </w:pPr>
    </w:p>
    <w:p>
      <w:pPr>
        <w:ind w:right="1060"/>
        <w:spacing w:after="0" w:line="259"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color w:val="auto"/>
              </w:rPr>
              <w:t>2019</w:t>
            </w:r>
          </w:p>
        </w:tc>
      </w:tr>
      <w:tr>
        <w:trPr>
          <w:trHeight w:val="182"/>
        </w:trPr>
        <w:tc>
          <w:tcPr>
            <w:tcW w:w="34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Amount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 of Total</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color w:val="auto"/>
              </w:rPr>
              <w:t>$ Amount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 of Total</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color w:val="auto"/>
                <w:w w:val="99"/>
              </w:rPr>
              <w:t>Amount</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 of Total</w:t>
            </w:r>
          </w:p>
        </w:tc>
      </w:tr>
      <w:tr>
        <w:trPr>
          <w:trHeight w:val="222"/>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2,297</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49 %</w:t>
            </w:r>
          </w:p>
        </w:tc>
      </w:tr>
      <w:tr>
        <w:trPr>
          <w:trHeight w:val="228"/>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8"/>
        </w:trPr>
        <w:tc>
          <w:tcPr>
            <w:tcW w:w="3400" w:type="dxa"/>
            <w:vAlign w:val="bottom"/>
          </w:tcPr>
          <w:p>
            <w:pPr>
              <w:ind w:left="20"/>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14"/>
                <w:szCs w:val="14"/>
                <w:color w:val="auto"/>
              </w:rPr>
              <w:t>(a)</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1,049</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20 %</w:t>
            </w:r>
          </w:p>
        </w:tc>
      </w:tr>
      <w:tr>
        <w:trPr>
          <w:trHeight w:val="228"/>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 w:type="dxa"/>
            <w:vAlign w:val="bottom"/>
            <w:tcBorders>
              <w:bottom w:val="single" w:sz="8" w:color="auto"/>
            </w:tcBorders>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tcBorders>
              <w:bottom w:val="single" w:sz="8" w:color="auto"/>
            </w:tcBorders>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2"/>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3" w:lineRule="exact"/>
        <w:rPr>
          <w:sz w:val="20"/>
          <w:szCs w:val="20"/>
          <w:color w:val="auto"/>
        </w:rPr>
      </w:pPr>
    </w:p>
    <w:p>
      <w:pPr>
        <w:ind w:right="360" w:firstLine="7"/>
        <w:spacing w:after="0" w:line="279" w:lineRule="auto"/>
        <w:tabs>
          <w:tab w:leader="none" w:pos="242"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Emerging Markets includes results from the following regions: Eastern Europe, the Middle East and Africa, Latin America and Asia Pacific (excluding Japan, Australia and New Zealand, which are presented in "Other")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All of our businesses require various parts and raw materials, the availability and prices of which may fluctuate. Parts and raw materials commonly used in our products include motors, fabricated parts, castings, bearings, seals, batteries, printed circuit boards ("PCBs") and electronic components, including semiconductors, as well as commodities, including steel, brass, nickel, copper, aluminum and plastics. While we may recover some cost increases through operational improvements, we are still exposed to pricing risk, including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9" w:name="page10"/>
    <w:bookmarkEnd w:id="9"/>
    <w:p>
      <w:pPr>
        <w:ind w:right="440"/>
        <w:spacing w:after="0" w:line="259" w:lineRule="auto"/>
        <w:rPr>
          <w:sz w:val="20"/>
          <w:szCs w:val="20"/>
          <w:color w:val="auto"/>
        </w:rPr>
      </w:pPr>
      <w:r>
        <w:rPr>
          <w:rFonts w:ascii="Arial" w:cs="Arial" w:eastAsia="Arial" w:hAnsi="Arial"/>
          <w:sz w:val="18"/>
          <w:szCs w:val="18"/>
          <w:color w:val="auto"/>
        </w:rPr>
        <w:t>due to duty and tariff assessments by the U.S. or other governments on foreign imports. We attempt to control costs through fixed-priced contracts with suppliers and various other programs, such as our global procurement initiative.</w:t>
      </w:r>
    </w:p>
    <w:p>
      <w:pPr>
        <w:spacing w:after="0" w:line="9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98"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We may experience price volatility or supply constraints for materials that are not available from multiple sources. From time to time, we acquire certain inventory in anticipation of supply constraints or enter into longer-term pricing commitments with suppliers to improve the priority, price and availability of supply.</w:t>
      </w:r>
    </w:p>
    <w:p>
      <w:pPr>
        <w:spacing w:after="0" w:line="10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climate change and weather conditions, including heavy flooding, prolonged droughts and fluctuations in temperatures or weather patterns, all of which can positively or negatively impact portions of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10% of our consolidated revenues in 2021, 2020 or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3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$3,240 million at December 31, 2021 and $2,124 million at December 31, 2020. We anticipate that approximately 60% of the backlog at December 31, 2021 will be recognized as revenue during 2022.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and application know-how that address anticipated customer needs and emerging trends. Our engineers are involved in new product development as well as improvement of existing products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 In addition to investments made in software development, which were capitalized, we incurred $204 million, $187 million, and $191 million as a result of R&amp;D investment spending in 2021, 2020 and 2019, respectively.</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R&amp;D and product development capabilities around the world. R&amp;D activities are initially conducted in our technology centers, located in conjunction with some of our major manufacturing facilities to enable an efficient and robust development process. We have several global technical centers and local development teams around the world where we are supporting global needs and accelerating the customization of our products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start-up accelerators and venture capital organizations.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3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2021 and 2020 we had net capitalized software used in sales and services to external customers of $211 million and $182 million, respectively.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Intellectual Property</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generally seek patent protection for those inventions and improvements that we believe will improve our competitive position and are not suitable to be kept as a trade secret. We believe that our patents and applications are important for maintaining the competitive differentiation of our products and improving our return on R&amp;D investments. While we own, control or license a significant number of patents, trade secrets, proprietary information, trademarks, trade names, copyrights and other intellectual property rights which, in the aggregate, are of material importance to our business, management believes that our business, as a whole, as well as each of our core business segments, is not materially dependent on any one intellectual property right or related group of such rights.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global operations are subject to various laws and regulations governing the environment and climate change, such as those promulgated by the U.S. Environmental Protection Agency and similar state and foreign environmental agencies, including the discharge of pollutants and the management and disposal of hazardous substances. While environmental and climate change laws and regulations are subject to change, such changes can be difficult to predict reliably and the timing of potential changes is uncertain. Management does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 anticipate these liabilities will have a material adverse effect on our consolidated financial position or results of operations. At December 31, 2021, we had estimated and accrued $3 million related to environmental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and regulations in the countries where we conduct business, including with respect to trade, such as tariffs, imports and exports; anti-bribery and corruption; antitrust and competition; data security and privacy, such as the EU General Data Protection Regulation (“GDPR”) and the China Personal Information Protection Law ('PIPL"); use of regulated radio spectrum, including that of the U.S. FCC; lobbying activity; health and safety; and the environment, among other matters. We have policies and procedures in place to promote compliance with these laws and regulations. Additional information about the impact of government regulations on Xylem’s business is included in Item 1A. “Risk Factors” under the headings Risks Related to Our Business and Operations and Risks Related to Legal, Regulatory and Tax.</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3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At Xylem, sustainability is at the center of who we are and what we do. As a leading global water technology company, we address some of the world’s most urgent sustainability challenges - responsible stewardship of our shared water resources and resiliency of communities to climate change. Technology is playing an increasingly important role in helping the world solve water issues. We have a long history of innovation and we are focusing on the powerful capabilities of smart technology, integrated management and data analytics.</w:t>
      </w:r>
    </w:p>
    <w:p>
      <w:pPr>
        <w:spacing w:after="0" w:line="9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believe our financial performance and commitment to sustainability go hand in hand. Xylem approaches business sustainability as a way to generate economic value while also creating value for society, thus meeting the needs of both. Accordingly, in 2019, we evolved our approach to leverage sustainability in our decision-making toward long-term value creation for our shareholders, customers, employees and communities in which we operate and we announced an ambitious slate of 2025 Sustainability goals. The progress towards these goals can be found in our 2020 Sustainability Report, which is aligned to the Global Reporting Initiative and the Sustainability Accounting Standards Board frameworks.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 w:name="page12"/>
    <w:bookmarkEnd w:id="11"/>
    <w:p>
      <w:pPr>
        <w:ind w:right="120"/>
        <w:spacing w:after="0" w:line="252" w:lineRule="auto"/>
        <w:rPr>
          <w:sz w:val="20"/>
          <w:szCs w:val="20"/>
          <w:color w:val="auto"/>
        </w:rPr>
      </w:pPr>
      <w:r>
        <w:rPr>
          <w:rFonts w:ascii="Arial" w:cs="Arial" w:eastAsia="Arial" w:hAnsi="Arial"/>
          <w:sz w:val="18"/>
          <w:szCs w:val="18"/>
          <w:color w:val="auto"/>
        </w:rPr>
        <w:t>In setting our 2025 Sustainability goals, we also aligned them with the United Nations Sustainable Development Goals ("UNSDGs"), not only to substantiate our contribution to achieving global objectives, but also to be transparent in our communication to stakeholders by providing details on our responsibility to build a sustainable future. While Xylem embraces all 17 of the UNSDGs, we have a special focus on SDG6: Clean Water and Sanitation.</w:t>
      </w:r>
    </w:p>
    <w:p>
      <w:pPr>
        <w:spacing w:after="0" w:line="85"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Additionally, in 2021, Xylem announced our commitment to reach Net Zero greenhouse gas emissions before 2050 across our value chain, further aligning our long-term commitment to sustainability with sector-wide moves towards reduced carbon footprint.</w:t>
      </w:r>
    </w:p>
    <w:p>
      <w:pPr>
        <w:spacing w:after="0" w:line="21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2021, in partnership with Goldman Sachs, we continued our work towards further integrating our business and finance strategies with sustainability by creating a cash account tied to performance of select 2025 Sustainability goals. In 2020, Xylem completed a $1 billion Green Bond offering in senior unsecured notes, consisting of $ 500 million of 1.950% senior notes due in January 2028 and $500 million of 2.250% senior notes due in January 2031. The proceeds of this offering were allocated to green projects that help improve water accessibility, water affordability, and water systems resilience. This follows our 2019 execution of a five-year revolving credit facility (the “2019 Credit Facility”) with Citibank, N.A., as Administrative Agent, and a syndicate of lenders. The 2019 Credit Facility includes a pricing grid that determines the applicable margin based on Xylem's credit rating, with a further adjustment depending on Xylem's annual Sustainalytics Environmental, Social and Governance (“ESG”) score, an important barometer of Xylem’s continued commitment to sustainability. Additionally, during the first quarter of 2021, we issued a special grant of less than 0.1 million ESG performance share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7"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Our colleagues around the globe are united in a shared purpose – to solve water – and, as such, are key to the Company’s success and execution of our strategy. We continue to foster an empowering, mission-driven, people-centered, diverse and inclusive culture. We believe that our overall success and long-term growth depend, in part, on our continued ability to attract and retain diverse and highly skilled colleagues, including senior leaders and colleagues with skills in our strategic competencies, such as engineering, innovation, digital technologies, sales excellence, sustainability and product and project management. The market for highly-skilled talent and leaders in our industry is increasingly competitive, but we believe our culture is a differentiator and therefore important to our ability to attract and retain employees.</w:t>
      </w:r>
    </w:p>
    <w:p>
      <w:pPr>
        <w:spacing w:after="0" w:line="97"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As of December 31, 2021, Xylem employed approximately 17,300 employees worldwide, of which approximately 1,200 were temporary or fixed-term employees or interns. We have approximately 5,700 employees in the U.S., 8,100 in Europe, and 3,000 in Asia Pacific,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remaining 1,000 in other geographies in which we operate. Approximately 18% of our U.S. colleagues are represented by labor unions. In</w:t>
      </w:r>
    </w:p>
    <w:p>
      <w:pPr>
        <w:spacing w:after="0" w:line="48"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certain foreign countries, our colleagues are represented by labor unions and/or work councils. We believe that our relations with our employees are good.</w:t>
      </w:r>
    </w:p>
    <w:p>
      <w:pPr>
        <w:spacing w:after="0" w:line="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 periodic employee engagement surveys to understand our employees’ perspectives, identify areas for additional focus and establish action plans. These surveys cover a range of topics, including employee engagement, company culture, customer focus, organizational effectiveness, employee well-being, diversity, equity and inclusion, pay for performance and development opportunities. 86% of our employees globally participated in our 2021 engagement survey, and our engagement index showed increases from the 2019 survey.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Vision and Values</w:t>
      </w:r>
    </w:p>
    <w:p>
      <w:pPr>
        <w:spacing w:after="0" w:line="13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vision and values provide the foundation for how we want to grow as a company as well as the inspiration for how we want to behave as industry leaders and ethical corporate citizens. Our vision is to create a world in which water issues are no longer a constraint to health, prosperity, and sustainable development. We devote our technology, time and talent to advance the smarter use of water and our colleagues are guided by our core values:</w:t>
      </w:r>
    </w:p>
    <w:p>
      <w:pPr>
        <w:spacing w:after="0" w:line="98" w:lineRule="exact"/>
        <w:rPr>
          <w:sz w:val="20"/>
          <w:szCs w:val="20"/>
          <w:color w:val="auto"/>
        </w:rPr>
      </w:pPr>
    </w:p>
    <w:p>
      <w:pPr>
        <w:ind w:left="640" w:hanging="31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Respect for each other, for diversity of people and opinions, for the environment;</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Responsibility for our words and actions, for customer satisfaction, for giving back to our communities;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Integrity for acting ethically, for doing what we say we’ll do, for having the courage to communicate with candor; 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Creativity for thinking beyond boundaries, for anticipating tomorrow’s challenges, for unlocking growth potential.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3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are committed to a workplace that creates a sense of belonging for everyone: where all our colleagues feel involved, respected, valued, connected and able to bring their authentic selves to work. At Xylem, we recognize the power of diversity and inclusion to drive innovation, make us more competitive, positively impact customer satisfaction and Company performance, and create value for our shareholders and other stakeholders.</w:t>
      </w:r>
    </w:p>
    <w:p>
      <w:pPr>
        <w:spacing w:after="0" w:line="9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commitment to building a global, diverse and inclusive culture starts at the top with our Board of Directors and senior leadership team members, who represent a broad spectrum of backgrounds and perspectives. As of February 25, 2022, 50% of our directors have origins outside the U.S., and 50% of our directors also identify as diverse from a gender, ethnic or racial standpoint. Approximately 17% of our senior leadership team members have origins outside the U.S., and approximately 42% of our senior leadership team also identify as diverse from a gender, ethnic or racial standpoint. We believe that the diversity of our Board of Directors and senior leadership enhances our ability to evolve and execute our business strategy and to attract and retain diverse and highly qualified talent, and also fuels our commitment to building a culture of inclusion, and providing our colleagues with equitable access to opportunities. As of December 31, 2021 globally, 25% of our colleagues identify as female; in the U.S., 25% of our colleagues identify as U.S. minorities.</w:t>
      </w:r>
    </w:p>
    <w:p>
      <w:pPr>
        <w:spacing w:after="0" w:line="103"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Diversity and inclusion metrics are included in our regular business reviews to improve transparency and drive accountability by highlighting progress on goals and outlining steps to achieve them. In addition, we publicly disclose various workforce metrics regarding gender, age and racial and ethnic diversity, including our U.S. EEO-1 report.</w:t>
      </w:r>
    </w:p>
    <w:p>
      <w:pPr>
        <w:spacing w:after="0" w:line="9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provide periodic training on diversity, equity and inclusion globally, including for our senior leaders. We offer Employee Network Groups, which are voluntary, employee-led groups formed by people with a common affinity, such as gender, race, sexual orientation and gender identity, military status or other attributes. Each Employee Network Group is sponsored and supported by one or more senior leaders and all groups are open to all employees regardless of any diversity attributes with which they may identify. Collectively, approximately 3,700 colleagues participate as members of our network groups. These groups are a critical part of Xylem’s diversity, equity and inclusion strategy and empower colleagues. Each group has a collective voice to speak with management, including the opportunity to voice concerns as a community and to drive change and advance inclusion and innovation. In addition, our CEO and senior leadership team hold regular global town hall meetings, as well as smaller regional or local town halls, to share and hear from our colleagues across all areas of the Company and geographies.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3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Protecting the safety, health and well-being of our colleagues is one of our highest priorities. We have a strong Environmental, Health and Safety program that focuses on governance, risk reduction, training and education, and leadership accountability to provide our colleagues with safe and healthy workplaces. In response to the COVID-19 pandemic, we continue to take additional measures to protect the health, safety and well-being of our colleagues, including a support pay program for colleagues impacted by the pandemic which remained in place throughout 2021, an essential services support pay program for colleagues whose roles were classified as an “essential service” requiring work on-site at a Xylem facility or in the field supporting customers, and the transition of office-based colleagues to remote work-from-home status where possible, which enabled us to minimize disruptions to our operations and continue to support our customers. In addition, our senior leadership team held listening sessions with colleagues who were also caregivers to understand their unique challenges and evolve our support accordingly. In order to maintain a safe work environment for our colleagues, our production facilities spread out operations over multiple shifts and implemented other protective measures, such as temperature screening and social distancing, while maintaining operational capabilities. In response to our 2021 employee engagement survey, we sought specific feedback on mental well-being and are augmenting our holistic well-being strategies as a result.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3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Attracting, motivating and retaining talented colleagues worldwide is essential to the success of our business. Accordingly, we endeavor to provide our colleagues with competitive compensation and benefits, including paid parental leave in the United States. Xylem takes a total rewards approach that integrates programs for compensation, benefits, recognition and work-life balance. While individual program components may differ by country, role or level, our culture and commitment to results and equity remain constant.</w:t>
      </w:r>
    </w:p>
    <w:p>
      <w:pPr>
        <w:spacing w:after="0" w:line="8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We seek to align our human capital and sustainability strategies to support our mission-driven culture and further our shared value approach, which is designed to generate increased economic and social value for our investors and other stakeholders. Accordingly, in 2021, the Company expanded its sustainability-linked compensation for all</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3" w:name="page14"/>
    <w:bookmarkEnd w:id="13"/>
    <w:p>
      <w:pPr>
        <w:ind w:right="180"/>
        <w:spacing w:after="0" w:line="234" w:lineRule="auto"/>
        <w:rPr>
          <w:sz w:val="20"/>
          <w:szCs w:val="20"/>
          <w:color w:val="auto"/>
        </w:rPr>
      </w:pPr>
      <w:r>
        <w:rPr>
          <w:rFonts w:ascii="Arial" w:cs="Arial" w:eastAsia="Arial" w:hAnsi="Arial"/>
          <w:sz w:val="18"/>
          <w:szCs w:val="18"/>
          <w:color w:val="auto"/>
        </w:rPr>
        <w:t>of our senior leaders, as well as a broader group of executives, with a special, one-time grant of performance share units with goals that are based on 5 of our strategically transformative 2025 sustainability goals.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13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committed to enhancing colleagues’ capabilities needed to win in the marketplace and are focused on enhancing digital literacy, sales effectiveness, and other skills needed to support execution of our strategy. We also are focused on internal talent mobility across functions, geographies and businesses. Through our continuous improvement program, we nurture and grow a continuous improvement mindset throughout all areas of the Company.</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broad range of talent development programs and experiences to facilitate the continued professional growth and leadership development of our colleagues and to support our succession plans. These programs span across all levels, businesses and functions, including entry-level talent recruitment programs, development programs for emerging leaders, manager training and executive development. We also provide on-demand/self-paced learning through our learning management system.</w:t>
      </w:r>
    </w:p>
    <w:p>
      <w:pPr>
        <w:spacing w:after="0" w:line="98" w:lineRule="exact"/>
        <w:rPr>
          <w:sz w:val="20"/>
          <w:szCs w:val="20"/>
          <w:color w:val="auto"/>
        </w:rPr>
      </w:pPr>
    </w:p>
    <w:p>
      <w:pPr>
        <w:ind w:right="580"/>
        <w:spacing w:after="0" w:line="272" w:lineRule="auto"/>
        <w:rPr>
          <w:sz w:val="20"/>
          <w:szCs w:val="20"/>
          <w:color w:val="auto"/>
        </w:rPr>
      </w:pPr>
      <w:r>
        <w:rPr>
          <w:rFonts w:ascii="Arial" w:cs="Arial" w:eastAsia="Arial" w:hAnsi="Arial"/>
          <w:sz w:val="17"/>
          <w:szCs w:val="17"/>
          <w:color w:val="auto"/>
        </w:rPr>
        <w:t>We also prioritize employee engagement through regular, year-round discussions focused on employee performance feedback and development, opportunities to work on special projects, and volunteer activities involving Watermark, our corporate social responsibility program, as well as Xylem Ignite, our youth engagement program. Our Employee Network Groups foster inclusion and support the development of our colleagues by offering formal and informal leadership opportunities and creating visibility for colleagues.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Workplace Flexibility</w:t>
      </w:r>
    </w:p>
    <w:p>
      <w:pPr>
        <w:spacing w:after="0" w:line="13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response to the COVID-19 pandemic, our colleagues discovered innovative ways to engage customers and suppliers, and collaborate with each other on complex global or cross-functional projects, adapted to stay strong and productive, and remained highly engaged and committed to our vision as a Company. This agility has also helped us see new business capabilities and ways of working together.</w:t>
      </w:r>
    </w:p>
    <w:p>
      <w:pPr>
        <w:spacing w:after="0" w:line="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heard from many of our office-based colleagues that they greatly value the increased flexibility and autonomy that came with remote working. We believe that an appropriately tailored approach that balances in the office, fully remote and hybrid arrangements will increase our ability to retain and attract the best, most diverse talent, and reduce our carbon footprint associated with unnecessary commuting and business travel.</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committed to preparing and enabling both management and our colleagues for this new way of working, while we continue to foster an inclusive, equitable culture that promotes engagement, innovation, performance and trust, including for our on-site manufacturing and field services colleagues.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Relations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Xylem respects the work of labor organizations, work councils and trade unions to better the lives of working people. Accordingly, Xylem respects the legal rights of its colleagues to join or to refrain from joining such organizations. An employee’s decision to join or not join a labor organization will in no way account for any discrimination against that employee. Xylem makes managers at all levels aware of the importance of respecting the rights of colleagues to organize or be represented. Our experience supports our core belief that a favorable, collaborative work environment with direct communication between employees and management serves not only the interests of employees but also the interests of Xylem as a company. We work to establish favorable employment conditions that promote positive relationships between our colleagues and their managers, facilitate communications among our colleagues and support their development.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 and events, along with all of the other information in this Report and in our other filings with the SEC. The events and consequences discussed below could, in circumstances that we may not be able to accurately predict, recognize or control, have a material adverse effect on our business, financial condition, cash flows, results of operations and/or market price of our common stock.</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may emerge from time to time. Risks not currently known to us, or that we currently believe are immaterial, may impact our business operations, financial condition or share price. The global economic and geopolitical climate, including the impacts of the ongoing COVID-19 pandemic, amplifies many of the risks below. Risks in this section are grouped in the following categories: (1) Risks Related to Macroeconomic and Industry Factors; (2) Risks Related to Our Business and Operations; (3) Risks Related to Legal, Regulatory and Tax; and (4) Risks Related to Ownership of Our Common Stock. Many risks affect more than one category, and as a result the risks are not in order of significance or probability of occurrence.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Macroeconomic and Industry Factors</w:t>
      </w:r>
    </w:p>
    <w:p>
      <w:pPr>
        <w:spacing w:after="0" w:line="115"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which can in turn affect our business, results of operations and financial condition.</w:t>
      </w:r>
    </w:p>
    <w:p>
      <w:pPr>
        <w:spacing w:after="0" w:line="54"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With sales in approximately 150 countries, we compete in a wide range of geographic and product markets. Material economic and industry factors impacting our businesses include: (i) the overall strength of, and our customers’ confidence in, local and global macroeconomic conditions; (ii) overall strength of industrial, governmental and public and private sector spending; (iii) overall strength of the residential and commercial real estate markets; (iv) federal, state, local and municipal governmental fiscal, trade and procurement laws, regulations and policies, including with respect to domestic content; (v) the availability of commercial financing for our customers and end-users; and (vi) the degree of funding for our public sector customers, including with respect to water infrastructure investments. The macroeconomic impacts of the ongoing COVID-19 pandemic and broader economic dynamics, including with respect to supply chain shortages, logistics challenges, tight labor markets and inflation, have had, and continue to have, a material adverse effect on our business and results of operations. Future slowdowns or prolonged downturns in the global economy or our markets could have material adverse effects on our business, financial condition, cash flows and results of operations.</w:t>
      </w:r>
    </w:p>
    <w:p>
      <w:pPr>
        <w:spacing w:after="0" w:line="74"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We are exposed to geopolitical, regulatory, economic, foreign exchange and other risks associated with our global sales and operations.</w:t>
      </w:r>
    </w:p>
    <w:p>
      <w:pPr>
        <w:spacing w:after="0" w:line="6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In 2021, 44% of our total revenue was from customers within the U.S. and 56% was from customers outside the U.S. We expect our sales from international operations and export sales to continue to be a significant portion of our revenue. Many of our manufacturing operations, employees and suppliers are located outside of the U.S. Our operations and sales both within the U.S. and internationally are subject, in varying degrees, to risks inherent in doing business globally, including:</w:t>
      </w:r>
    </w:p>
    <w:p>
      <w:pPr>
        <w:spacing w:after="0" w:line="98" w:lineRule="exact"/>
        <w:rPr>
          <w:sz w:val="20"/>
          <w:szCs w:val="20"/>
          <w:color w:val="auto"/>
        </w:rPr>
      </w:pPr>
    </w:p>
    <w:p>
      <w:pPr>
        <w:ind w:left="660" w:right="16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trade protection measures, including embargoes, tariffs and other trade barriers, import and export regulations, licensing requirements, and new and existing domestic content requirements for projects receiving governmental funding;</w:t>
      </w:r>
    </w:p>
    <w:p>
      <w:pPr>
        <w:spacing w:after="0" w:line="90" w:lineRule="exact"/>
        <w:rPr>
          <w:rFonts w:ascii="Arial" w:cs="Arial" w:eastAsia="Arial" w:hAnsi="Arial"/>
          <w:sz w:val="18"/>
          <w:szCs w:val="18"/>
          <w:color w:val="auto"/>
        </w:rPr>
      </w:pPr>
    </w:p>
    <w:p>
      <w:pPr>
        <w:ind w:left="660" w:right="8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and uncertainties arising from the global geopolitical environment, including economic nationalism, populism, protectionism and anti-global sentiment;</w:t>
      </w:r>
    </w:p>
    <w:p>
      <w:pPr>
        <w:spacing w:after="0" w:line="90" w:lineRule="exact"/>
        <w:rPr>
          <w:rFonts w:ascii="Arial" w:cs="Arial" w:eastAsia="Arial" w:hAnsi="Arial"/>
          <w:sz w:val="18"/>
          <w:szCs w:val="18"/>
          <w:color w:val="auto"/>
        </w:rPr>
      </w:pPr>
    </w:p>
    <w:p>
      <w:pPr>
        <w:ind w:left="660" w:right="18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potential negative consequences from the interpretation, application and enforcement by governmental tax authorities of tax laws and policies;</w:t>
      </w:r>
    </w:p>
    <w:p>
      <w:pPr>
        <w:spacing w:after="0" w:line="90"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other laws and regulations or how such provisions are interpreted or administered;</w:t>
      </w:r>
    </w:p>
    <w:p>
      <w:pPr>
        <w:spacing w:after="0" w:line="115" w:lineRule="exact"/>
        <w:rPr>
          <w:rFonts w:ascii="Arial" w:cs="Arial" w:eastAsia="Arial" w:hAnsi="Arial"/>
          <w:sz w:val="18"/>
          <w:szCs w:val="18"/>
          <w:color w:val="auto"/>
        </w:rPr>
      </w:pPr>
    </w:p>
    <w:p>
      <w:pPr>
        <w:ind w:left="660" w:right="90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our global supply chain, including with respect to labor shortages, supply shortages, and freight and logistics challenges;</w:t>
      </w:r>
    </w:p>
    <w:p>
      <w:pPr>
        <w:spacing w:after="0" w:line="90" w:lineRule="exact"/>
        <w:rPr>
          <w:rFonts w:ascii="Arial" w:cs="Arial" w:eastAsia="Arial" w:hAnsi="Arial"/>
          <w:sz w:val="18"/>
          <w:szCs w:val="18"/>
          <w:color w:val="auto"/>
        </w:rPr>
      </w:pPr>
    </w:p>
    <w:p>
      <w:pPr>
        <w:ind w:left="660" w:right="96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circumstances arising from host country laws or regulations, including those related to infrastructure and data transmission, security and privacy;</w:t>
      </w:r>
    </w:p>
    <w:p>
      <w:pPr>
        <w:spacing w:after="0" w:line="90" w:lineRule="exact"/>
        <w:rPr>
          <w:rFonts w:ascii="Arial" w:cs="Arial" w:eastAsia="Arial" w:hAnsi="Arial"/>
          <w:sz w:val="18"/>
          <w:szCs w:val="18"/>
          <w:color w:val="auto"/>
        </w:rPr>
      </w:pPr>
    </w:p>
    <w:p>
      <w:pPr>
        <w:ind w:left="660" w:hanging="330"/>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shocks to the global financial system, including due to global health crises, the effects of climate change, or idiosyncratic events, such as a terrorist attack;</w:t>
      </w:r>
    </w:p>
    <w:p>
      <w:pPr>
        <w:spacing w:after="0" w:line="90" w:lineRule="exact"/>
        <w:rPr>
          <w:rFonts w:ascii="Arial" w:cs="Arial" w:eastAsia="Arial" w:hAnsi="Arial"/>
          <w:sz w:val="18"/>
          <w:szCs w:val="18"/>
          <w:color w:val="auto"/>
        </w:rPr>
      </w:pPr>
    </w:p>
    <w:p>
      <w:pPr>
        <w:ind w:left="640" w:hanging="310"/>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compromise or misappropriation of technology, intellectual property or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15" w:name="page16"/>
    <w:bookmarkEnd w:id="15"/>
    <w:p>
      <w:pPr>
        <w:ind w:left="660" w:right="320" w:hanging="330"/>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 restrictions on repatriation of earnings or payment of distributions, dividends, loans or advances to us by foreign subsidiaries;</w:t>
      </w:r>
    </w:p>
    <w:p>
      <w:pPr>
        <w:spacing w:after="0" w:line="90" w:lineRule="exact"/>
        <w:rPr>
          <w:rFonts w:ascii="Arial" w:cs="Arial" w:eastAsia="Arial" w:hAnsi="Arial"/>
          <w:sz w:val="18"/>
          <w:szCs w:val="18"/>
          <w:color w:val="auto"/>
        </w:rPr>
      </w:pPr>
    </w:p>
    <w:p>
      <w:pPr>
        <w:ind w:left="640" w:hanging="31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operations from labor, civil, political or other disturbances;</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regional safety and security considerations;</w:t>
      </w:r>
    </w:p>
    <w:p>
      <w:pPr>
        <w:spacing w:after="0" w:line="115" w:lineRule="exact"/>
        <w:rPr>
          <w:rFonts w:ascii="Arial" w:cs="Arial" w:eastAsia="Arial" w:hAnsi="Arial"/>
          <w:sz w:val="18"/>
          <w:szCs w:val="18"/>
          <w:color w:val="auto"/>
        </w:rPr>
      </w:pPr>
    </w:p>
    <w:p>
      <w:pPr>
        <w:ind w:left="660" w:right="120" w:hanging="330"/>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costs and risks in developing, staffing and simultaneously managing a number of global operations as a result of distance, remote work arrangements, language and cultural differences; and</w:t>
      </w:r>
    </w:p>
    <w:p>
      <w:pPr>
        <w:spacing w:after="0" w:line="90" w:lineRule="exact"/>
        <w:rPr>
          <w:rFonts w:ascii="Arial" w:cs="Arial" w:eastAsia="Arial" w:hAnsi="Arial"/>
          <w:sz w:val="18"/>
          <w:szCs w:val="18"/>
          <w:color w:val="auto"/>
        </w:rPr>
      </w:pPr>
    </w:p>
    <w:p>
      <w:pPr>
        <w:ind w:left="660" w:right="100" w:hanging="330"/>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threat, outbreak, uncertainty or escalation of political instability, insurrection, armed conflict, terrorism, epidemics, global health crises or pandemics, or war.</w:t>
      </w:r>
    </w:p>
    <w:p>
      <w:pPr>
        <w:spacing w:after="0" w:line="9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2021, 44% of our revenues were generated in the U.S, which included sales of products sold into federally funded projects. We expect our U.S. sales in 2022 and beyond to be similar. However, we may not be able to successfully compete for federally funded projects as some of our products may not comply with the domestic content requirements of the U.S. Buy American mandate applicable to the Infrastructure Investment and Jobs Act (“IIJA”) signed into law on November 15, 2021, as well as other federally funded projects. We are assessing the risks associated with the Buy America mandate, as well as related mitigation options around sourcing and manufacturing, but there is no guarantee that we will be able to meet applicable domestic content requirements. While governmental exemptions and waivers may in the future be issued that negate the application of the Buy America mandate to some or all of our potential sales into IIJA and other federally funded projects, it is uncertain whether and to what extent such exemptions or waivers may be issued. An inability to meet applicable domestic content requirements for U.S. federally funded projects could have a material adverse impact on our business, financial condition or results of operations.</w:t>
      </w:r>
    </w:p>
    <w:p>
      <w:pPr>
        <w:spacing w:after="0" w:line="1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continue to monitor the impacts of the U.K.’s exit from the EU (“Brexit”) on our supply chain, operations and financial results. The U.K. and the EU's Trade and Cooperation Agreement (“TCA”) creates a number of risks and uncertainties for our businesses, including: 1) our services are subject to the World Trade Organization’s rules until the parties to the TCA agree on rules around trade in services, and 2) a delay in implementing final provisions on border checks, with some transitional arrangements for 2021 being continued into 2022. The U.K. will also need to negotiate its own trade treaties with countries around the world, which could take years to complete, and any disagreements on trade terms could result in supply chain delays or other disruptions. As a result, we face continued uncertainty and risks of disruption in our supply chain and increased costs.</w:t>
      </w:r>
    </w:p>
    <w:p>
      <w:pPr>
        <w:spacing w:after="0" w:line="9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the year ended December 31, 2021, 21% of our total revenues were generated in emerging markets and we have placed a particular emphasis in our strategy on increasing our growth and presence in emerging markets. Beyond the general risks that we face outside the U.S., our operations in emerging markets are subject to additional risks and uncertainties, including: (i) governments may impose withholding or other taxes on remittances and other payments to us, or the amount of any such taxes may increase; (ii) governments may seek to nationalize our assets; (iii) governments may impose or increase investment barriers or other restrictions affecting our business; (iv) difficulty in enforcing agreements; (v) challenges collecting receivables, protecting our intellectual property and other assets; (vi) pressure on the pricing of our products and services; (vii) higher business conduct risks; and (viii) challenges in our ability to hire and retain qualified talent and labor. We cannot predict the impact that such factors might have on our business, financial condition, cash flows and results of operations.</w:t>
      </w:r>
    </w:p>
    <w:p>
      <w:pPr>
        <w:spacing w:after="0" w:line="80"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The COVID-19 pandemic has adversely impacted, and continues to pose risks to, our business, results of operations and financial condition, the nature and extent of which are highly uncertain and unpredictable.</w:t>
      </w:r>
    </w:p>
    <w:p>
      <w:pPr>
        <w:spacing w:after="0" w:line="54"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Our global operations expose us to risks associated with public health crises, including epidemics and pandemics. The ongoing COVID-19 pandemic has had, and may continue to have, an adverse impact on our employees, customers, supply chain, operations and sales. The COVID-19 pandemic has, and may in the future, curtail the movement of people, goods and services worldwide, including in many of the regions where we sell our products and services and conduct operations. Government-mandated precautions to mitigate the spread of COVID-19, including travel restrictions, quarantines, stay at home or similar measures in many of the areas in which we operate, resulted in temporary production impacts at several of our facilities in 2020 and 2021, curtailed, and may in the future curtail, the business and operations of some of our customers and suppliers, including our ability to access our customers’ sites. If the COVID-19 pandemic continues or worsens, including additional mutations of the virus, we may experience a decline in sales and customer orders in certain of our businesses. The COVID-19 pandemic and broader global market supply and demand dynamics also have impacted, and continue to impact our supply chain with unpredictable disruptions, due to component shortages, including with respect to key electronic components such as semiconductors, capacity constraints, delays in shipment of materials necessary to the manufacture of our products, freight and logistics challenges, tight labor markets and inflation. Different markets and parts of our business will recover from the COVID-19 pandemic at different rates depending on many factors,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6" w:name="page17"/>
    <w:bookmarkEnd w:id="16"/>
    <w:p>
      <w:pPr>
        <w:spacing w:after="0" w:line="221" w:lineRule="auto"/>
        <w:rPr>
          <w:sz w:val="20"/>
          <w:szCs w:val="20"/>
          <w:color w:val="auto"/>
        </w:rPr>
      </w:pPr>
      <w:r>
        <w:rPr>
          <w:rFonts w:ascii="Arial" w:cs="Arial" w:eastAsia="Arial" w:hAnsi="Arial"/>
          <w:sz w:val="18"/>
          <w:szCs w:val="18"/>
          <w:color w:val="auto"/>
        </w:rPr>
        <w:t>including vaccination levels or new COVID-19 variants and related outbreaks. While we have taken measures to mitigate these impacts, as the pandemic continues, or if it worsens, our manufacturing facilities, supply chain and logistics may continue to be significantly impacted. Accordingly, the pandemic has negatively impacted our revenue growth in certain of our businesses. It is uncertain how materially the COVID-19 pandemic, including additional mutations of the virus, the corresponding rollout, efficacy or unanticipated consequences of vaccines, and the pace of recovery will affect our global operations and sales if these impacts persist, worsen or re-emerge throughout 2022 and beyond. The extent and duration of these impacts on us are dependent in part on demand for our products and services and, our ability to meet customer demand; customers’ budgets, spending, willingness to allow us access to their job sites and continuation of planned projects; continued funding for infrastructure investments, particularly water infrastructure; our suppliers’ ability to continue to supply us with parts, components and raw materials, and logistics providers' ability to continue shipment of our products and supplies in a timely manner.</w:t>
      </w:r>
    </w:p>
    <w:p>
      <w:pPr>
        <w:spacing w:after="0" w:line="9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COVID-19 pandemic has caused significant volatility and uncertainty in the financial and capital markets. A further disruption of global financial markets or resulting economic downturn from the COVID-19 pandemic or other global health crises may reduce our ability to incur debt or access capital, or increase our cost of capital. There are no assurances that the credit markets or the capital markets will be available to us in the future or that the lenders participating in our credit facilities will be able to provide financing in accordance with their contractual obligations. Additionally, concerns over the economic impacts of COVID-19 have caused, and may continue to cause, volatility in our stock price. A sustained downturn may impact our liquidity position, including our ability to continue to pay dividends, or may impact our asset values resulting in the carrying value of our goodwill or other intangible assets exceeding their fair value, which may require us to recognize an impairment to those assets. The effects of the COVID-19 pandemic, including remote working arrangements for employees, has not to date impacted but could in the future impact our financial reporting systems and internal control over financial reporting.</w:t>
      </w:r>
    </w:p>
    <w:p>
      <w:pPr>
        <w:spacing w:after="0" w:line="1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cannot reasonably estimate the length or severity of the ongoing COVID-19 pandemic or the associated macroeconomic impacts, including impacts on our markets and other impacts to our business, financial position, results of operations and cash flows. To the extent that COVID-19 conditions improve, the duration and sustainability of such improvements will be uncertain, and continuing adverse impacts or the degree of improvement may vary by business and/or geography. Actions we may take in response to improvements in conditions may also vary by business and/or geography, and may be made with incomplete information. There is a risk that such actions could be premature, insufficient or incorrect and could have a material adverse impact on our business and results of operations.</w:t>
      </w:r>
    </w:p>
    <w:p>
      <w:pPr>
        <w:spacing w:after="0" w:line="77"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Inflation, tariffs, customs duties and other increases in manufacturing and operating costs could adversely affect our cash flows and results of operations.</w:t>
      </w:r>
    </w:p>
    <w:p>
      <w:pPr>
        <w:spacing w:after="0" w:line="6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operating costs are subject to fluctuations, particularly due to changes in prices for commodities, parts, raw materials, energy and related utilities, freight, and cost of labor which have been and may continue to be driven by inflation, tightening labor markets, prevailing price levels, exchange rates, changes in trade agreements and trade protection measures including tariffs, and other economic factors. Throughout 2021 our operating costs have been impacted by price inflation, including with respect to the cost of certain raw materials, electronic components, commodities, freight and logistics, and we expect this to continue for the foreseeable future. The U.S. has enacted various trade actions, including imposing tariffs on certain goods we import from China and other countries, which has resulted in retaliatory tariffs by China and other countries. Additional tariffs imposed by the U.S., or further retaliatory trade measures taken by China or other countries, could increase the cost of our products that we may not be able to offset. The TCA between the U.K. and EU imposes duties on goods traded between the U.K. and EU. In order to remain competitive, we may not be able to recover all or a portion of these higher costs from our customers through price increases. Further, in a declining price environment, our operating margins may contract because we account for inventory using the first-in, first-out method. Actions we take to mitigate volatility in manufacturing and operating costs may not be successful and, as a result, our business, financial condition, cash flows and results of operations could be materially and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rates fluctuations.</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Sales outside of the U.S. for the year ended December 31, 2021 accounted for approximately 56% of our net sales. We also have significant operations in various locations outside of the U.S. We are therefore exposed to fluctuations in foreign currency exchange rates, particularly with respect to the Euro, Swedish Krona, British Pound, Canadian Dollar, Australian Dollar, and Polish Zloty. Changes in the value of currencies of the countries in which we do business relative to the value of the U.S. Dollar or Euro could affect our ability to sell products competitively and control our cost structure, which has had and may continue to have a material adverse effect on our business, financial condition, cash flows and results of operations. Additionally, we are subject to foreign exchange translation risk due to changes in the value of foreign currencies in relation to our reporting currency, the U.S. Dollar.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 w:name="page18"/>
    <w:bookmarkEnd w:id="17"/>
    <w:p>
      <w:pPr>
        <w:ind w:right="160"/>
        <w:spacing w:after="0" w:line="251" w:lineRule="auto"/>
        <w:rPr>
          <w:sz w:val="20"/>
          <w:szCs w:val="20"/>
          <w:color w:val="auto"/>
        </w:rPr>
      </w:pPr>
      <w:r>
        <w:rPr>
          <w:rFonts w:ascii="Arial" w:cs="Arial" w:eastAsia="Arial" w:hAnsi="Arial"/>
          <w:sz w:val="18"/>
          <w:szCs w:val="18"/>
          <w:color w:val="auto"/>
        </w:rPr>
        <w:t>translation risk is primarily concentrated in the exchange rate between the U.S. Dollar and the Euro, Chinese Yuan, British Pound, Canadian Dollar, Australian Dollar, Swedish Krona, and Indian Rupee. As the U.S. Dollar fluctuates against other currencies in which we transact business, revenue and income may be impacted. Strengthening of the U.S. Dollar relative to the Euro and the currencies of the other countries in which we do business, has materially and adversely affected and could in the future materially and adversely affect our sales growth and profitability in future periods. Refer to Item 7A. "Quantitative and Qualitative Disclosures about Market Risk" for additional information on foreign exchange risk.</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Our pension and other defined benefit plans are subject to financial market risks that could adversely impact our earnings, financial condition and cash flows in future periods.</w:t>
      </w:r>
    </w:p>
    <w:p>
      <w:pPr>
        <w:spacing w:after="0" w:line="6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Certain current and retired employees are covered by pension and other defined benefit plans (collectively, “post-retirement benefit plans”). We make contributions to fund our post-retirement benefit plans when we consider it necessary or advantageous to do so. Significant changes in market interest rates, decreases in fair value of or investment losses on plan assets, changes in discount rates, or changes in minimum funding requirements established by governments, taxing authorities or other agreements, could increase our funding obligations and adversely impact our earnings, financial condition and cash flows in future periods. In addition, the cost of our post-retirement benefit plans is incurred over long periods of time and involves factors that can be volatile and unpredictable, including rates of return on plan assets, discount rates used to calculate liabilities and expenses, change in laws and regulatory actions, and changes in actuarial experience and assumptions, which could adversely impact our earnings, results of operations, financial condition and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5" w:lineRule="exact"/>
        <w:rPr>
          <w:sz w:val="20"/>
          <w:szCs w:val="20"/>
          <w:color w:val="auto"/>
        </w:rPr>
      </w:pPr>
    </w:p>
    <w:p>
      <w:pPr>
        <w:ind w:right="620"/>
        <w:spacing w:after="0" w:line="285" w:lineRule="auto"/>
        <w:rPr>
          <w:sz w:val="20"/>
          <w:szCs w:val="20"/>
          <w:color w:val="auto"/>
        </w:rPr>
      </w:pPr>
      <w:r>
        <w:rPr>
          <w:rFonts w:ascii="Arial" w:cs="Arial" w:eastAsia="Arial" w:hAnsi="Arial"/>
          <w:sz w:val="18"/>
          <w:szCs w:val="18"/>
          <w:b w:val="1"/>
          <w:bCs w:val="1"/>
          <w:i w:val="1"/>
          <w:iCs w:val="1"/>
          <w:color w:val="auto"/>
        </w:rPr>
        <w:t>Failure to compete successfully in our markets, including our ability to develop and commercialize innovative and disruptive technologies, could adversely affect our business.</w:t>
      </w:r>
    </w:p>
    <w:p>
      <w:pPr>
        <w:spacing w:after="0" w:line="6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offer our technologies, products and services in highly competitive markets. We believe the principal points of competition are product and service performance, quality and reliability, innovation, speed to market with new or disruptive technologies and business models, application expertise, brand reputation, energy efficiency, product security, product life cycle cost, timeliness of delivery, proximity of our service centers to customers, effectiveness of our distribution channels, price and customers’ experience in doing business with us. Maintaining and improving our competitive position will require successful management of these factors in a business environment with increasingly rapid rates of change and disruption.</w:t>
      </w:r>
    </w:p>
    <w:p>
      <w:pPr>
        <w:spacing w:after="0" w:line="9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Our competitive position and future growth rate depend upon a number of factors, including our ability to successfully: (i) innovate, develop and maintain competitive products, services, business models and customer experience to address emerging trends and meet customers’ needs (including those related to social, environmental and sustainability matters), (ii) defend our market share against an ever-expanding number of competitors, many of which are new and non-traditional competitors from outside our industry, such as large technology firms, or those out of emerging markets, (iii) enhance our product and service offerings by adding innovative features or disruptive technologies that differentiate them from those of our competitors and prevent commoditization, (iv) develop, manufacture and bring compelling new products and services to market quickly and cost-effectively, (v) continue to cultivate, develop and maintain our distribution network of channel partners, (vi) attract, develop and retain individuals with the requisite innovation, digital and technical expertise and understanding of</w:t>
      </w:r>
    </w:p>
    <w:p>
      <w:pPr>
        <w:spacing w:after="0" w:line="2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customers’ needs to develop and commercialize new technologies, products and services, (vii) continue to invest in our manufacturing, research and development, engineering, sales and marketing, customer service and support, and distribution networks, (viii) win large contracts, and (ix) compete for business subject to applicable governmental procurement laws, regulations and policies, including new and existing domestic content requirements in the U.S. and globally, as they may evolve over time.</w:t>
      </w:r>
    </w:p>
    <w:p>
      <w:pPr>
        <w:spacing w:after="0" w:line="9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may not be successful in maintaining our competitive position, which could adversely affect our business, financial condition, cash flows or results of operations. The failure of our technologies, products or services to maintain and gain market acceptance due to more attractive offerings, or customers’ slower-than-expected adoption of and investment in our new and innovative technologies could significantly reduce our revenues or market share and adversely affect our competitive position. Pricing pressures could cause us to adjust the prices of certain products to stay competitive, or we may not be able to continue to win large contracts, which could adversely affect our market share and competitive position.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8" w:name="page19"/>
    <w:bookmarkEnd w:id="18"/>
    <w:p>
      <w:pPr>
        <w:ind w:right="920"/>
        <w:spacing w:after="0" w:line="285" w:lineRule="auto"/>
        <w:rPr>
          <w:sz w:val="20"/>
          <w:szCs w:val="20"/>
          <w:color w:val="auto"/>
        </w:rPr>
      </w:pPr>
      <w:r>
        <w:rPr>
          <w:rFonts w:ascii="Arial" w:cs="Arial" w:eastAsia="Arial" w:hAnsi="Arial"/>
          <w:sz w:val="18"/>
          <w:szCs w:val="18"/>
          <w:b w:val="1"/>
          <w:bCs w:val="1"/>
          <w:i w:val="1"/>
          <w:iCs w:val="1"/>
          <w:color w:val="auto"/>
        </w:rPr>
        <w:t>Cybersecurity incidents or other disruptions to our information technology infrastructure, communications networks and operations could adversely affect our business, products and services.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business operations rely on information technology and communications networks, some of which are operated by third parties, including cloud-based service providers, to process, transmit and store our electronic information, including sensitive data such as confidential business information and personal data relating to employees, customers or other business partners. We have, or operate through, a concentration of operations on certain sites, such as production and shared service centers. With the COVID-19 pandemic impacting our business since March 2020, a significant portion of our workforce transitioned to remote working, which we expect to be the case for the foreseeable future, and they are reliant on our information technology infrastructure and communication networks to perform their jobs, as well as access to reliable and safe communication networks in their communities. We also rely on third parties’ information technology systems to manage or support a variety of business processes and activities, including with regard to remote work. Regardless of protection measures, essentially all systems are susceptible to damage, disruption or shut-down due to cybersecurity attacks, including ransomware, denial-of-service, computer viruses and security breaches; equipment or system failure, including due to maintenance, obsolescence or age; and other events or circumstances, such as human error or malfeasance, vandalism, natural disaster, fire, power, communication or other utility outage, shutdown or utility failure and other events. In any such circumstances, our system redundancy and other business continuity and disaster recovery planning and response may be ineffective or inadequate.</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In addition, we offer certain services and products, including pumps, controllers and meters that are digitally-enabled or that connect to and are part of the “Internet of Things” (IoT), and are used by third parties for operational purposes or to collect data. Cybersecurity attacks may target hardware, software and information installed, stored or transmitted by our products after they have been purchased and incorporated into third parties’ products, facilities or infrastructure. While we attempt to provide security measures to safeguard our products and services from cyber threats, the potential for an attack remains. A successful attack may result in the misappropriation, destruction, unauthorized access to or disclosure of third parties' confidential information, damage or disruption to third parties’ operations, potentially with personal health and safety risks, recall of our products or increased costs for security and remediation, as well as damage to our brand reputation.</w:t>
      </w:r>
    </w:p>
    <w:p>
      <w:pPr>
        <w:spacing w:after="0" w:line="8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Like many multinational companies, we, and some third parties upon which we rely, have experienced cybersecurity attacks on information technology networks and systems, products and services in the past and may experience them in the future, likely with more frequency and involving a broader range of devices and modes of attack. To date, none have resulted in any material adverse impact to our business, operations, products, services or customers. We have adopted measures designed to mitigate potential risks associated with cybersecurity threats, breaches or other disruptions or damage to our information technology networks and systems, products and services but the unpredictability of the timing, nature and scope of such disruptions and threats could impact our business, operations, products and services. Disruption to information technology and communications networks on which we rely, or an attack on our products and services, could interfere with our operations, disrupt our supply chain and service to our customers, interrupt production and shipments, result in theft or compromise of our and our customers’ intellectual property and trade secrets, damage employee, customer and business partner relationships, negatively impact our reputation, result in legal claims and proceedings or regulatory enforcement actions, and increase our costs for security and remediation, any of which could have a material adverse effect on our competitive position, results of operations, cash flows or financial condition.</w:t>
      </w:r>
    </w:p>
    <w:p>
      <w:pPr>
        <w:spacing w:after="0" w:line="87"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Although we continue to assess these risks, implement measures to mitigate these risks and perform business continuity and disaster recovery planning, we cannot be sure that cybersecurity attacks or other interruptions with material adverse effects will not occur, or that our business continuity and disaster recovery efforts will be effective and adequate.</w:t>
      </w:r>
    </w:p>
    <w:p>
      <w:pPr>
        <w:spacing w:after="0" w:line="73"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Lack of or delay in availability of products, parts and raw materials from our supply chain or the inability of suppliers to meet delivery and other requirements, could adversely affect our business.</w:t>
      </w:r>
    </w:p>
    <w:p>
      <w:pPr>
        <w:spacing w:after="0" w:line="54"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Our business relies on a large and complex network of suppliers (and their suppliers), including contract manufacturing, commodity markets and freight and logistics providers, to secure and ship finished goods and raw materials, parts, electronic components and other components that are used in our products. We expect that our reliance on, and the complexity of, the supply chain will continue to increase. Parts and raw materials commonly used in our products include electronic components, particularly semiconductors, motors, fabricated parts, castings, bearings, seals, batteries, and PCBs, as well as commodities, including steel, brass, nickel, copper, aluminum and plastics. We are exposed to the availability of these parts, components, materials and finished goods, which have been and may in the future be subject to delay, curtailment or change due to, among other things, macroeconomic factors including supply and demand dynamics, labor shortages, changes in the strategy or production planning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9" w:name="page20"/>
    <w:bookmarkEnd w:id="19"/>
    <w:p>
      <w:pPr>
        <w:ind w:right="140"/>
        <w:spacing w:after="0" w:line="222" w:lineRule="auto"/>
        <w:rPr>
          <w:sz w:val="20"/>
          <w:szCs w:val="20"/>
          <w:color w:val="auto"/>
        </w:rPr>
      </w:pPr>
      <w:r>
        <w:rPr>
          <w:rFonts w:ascii="Arial" w:cs="Arial" w:eastAsia="Arial" w:hAnsi="Arial"/>
          <w:sz w:val="18"/>
          <w:szCs w:val="18"/>
          <w:color w:val="auto"/>
        </w:rPr>
        <w:t>suppliers including decisions to exit production of key components upon which we rely, interruptions in suppliers' production, labor disputes, the impaired financial condition of a particular supplier, suppliers’ capacity allocations to other purchasers, changes in trade agreements and trade protection measures including tariffs, exchange rates and prevailing price levels, ability to meet regulatory requirements, weather emergencies and associated effects of climate change, the ongoing effects of the COVID-19 pandemic or other public health crises or threatened or actual armed conflict, acts of war or terrorism. We have also experienced, and continue to experience, increased freight and logistics costs, delivery delays related to port congestion and other logistics- related challenges. Although we have insurance, we cannot be certain that this insurance coverage will continue to be available to us at a reasonable cost or will be adequate to cover any or all aspects of supply chain disruptions.</w:t>
      </w:r>
    </w:p>
    <w:p>
      <w:pPr>
        <w:spacing w:after="0" w:line="215"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Some of our key components are available only from a sole or single source supplier or a limited group of suppliers and so we are subject to supply and pricing risk. In addition, if a sole or single source supplier were to cease or interrupt production or otherwise fail to supply a key component to us, it could adversely affect our product sales and operating results.</w:t>
      </w:r>
    </w:p>
    <w:p>
      <w:pPr>
        <w:spacing w:after="0" w:line="21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as a result of the ongoing COVID-19 pandemic and broader global market supply and demand dynamics, we have experienced and may continue to experience shortages, capacity constraints and delays with respect to the supply of components, including electronic components (in particular, semiconductors), and other parts and raw materials. We have and continue to take measures, including with respect to buffer stock, the use of alternative suppliers and re-design of certain products, to mitigate the impacts of the ongoing supply chain, freight and logistics issues. However, if these shortages and disruptions continue, if additional disruptions occur, or if our efforts to mitigate these shortages and disruptions are insufficient or unsuccessful, we may be unable to, or delayed in our ability to execute on our backlog, fill new customer orders or timely deliver products to our customers and therefore could have a material adverse effect on our business, financial condition or results of operations.</w:t>
      </w:r>
    </w:p>
    <w:p>
      <w:pPr>
        <w:spacing w:after="0" w:line="72"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that of third parties upon which we rely, may adversely affect our business and financial performance.</w:t>
      </w:r>
    </w:p>
    <w:p>
      <w:pPr>
        <w:spacing w:after="0" w:line="5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Our facilities and operations rely on a complex global supply chain including suppliers (and their suppliers), distributors, contract manufacturers, and freight and logistics providers. In addition, we rely on certain third parties to supply critical business processes and activities, including in the areas of Finance, Human Resources, Procurement and Information Technology. We also have a concentration of operations at certain sites, such as production and shared services centers. Our facilities and operations and those of certain third parties on which we rely, have experienced, and may in the future experience, disruptions as a result of an actual or threatened event or circumstance, including due to a significant equipment or system failure, natural disaster, weather event, effects of climate change, power, water or communications outage, fire, explosion, critical supply chain failure, terrorism, cybersecurity attack, political disruption, the effects of COVID-19, outbreak of an epidemic, pandemic or other public health crisis, insurrection, armed conflict or war, labor dispute, work stoppage or slowdown, technology failure, adverse weather conditions or other reason. A significant disruption to any of our facilities or operations, or that of third parties upon which we rely, could cause material adverse impacts to our financial performance, operations and business, including an inability to meet customer demand or contractual commitments, increased costs, and reduced sales, and could impact our business processes and activities, including our ability to timely report financial results. Any interruption in capability may be lengthy and have lasting effects, require a significant amount of management and other employees' time and focus, and require us to make substantial expenditures to remedy the situation, which could negatively affect our operations, business processes and activities, profitability and financial condition. Any recovery under our insurance policies may not offset the lost sales, increased costs, or longer term loss of suppliers, sales or customers that we may experience as a result of a disruption, which could adversely affect our business, financial condition, cash flow and results of operations. Although we continue to assess these risks, implement mitigation plans and perform business continuity and disaster recovery planning, we cannot be sure that interruptions with material adverse effects on our operational and financial performance will not occur.</w:t>
      </w:r>
    </w:p>
    <w:p>
      <w:pPr>
        <w:spacing w:after="0" w:line="162"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Failure to retain our existing senior management, engineering, technology, sales, services and other key talents or the inability to attract new qualified and diverse talent could negatively impact our business.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success has depended, and will continue to depend to a significant extent on our ability to attract and retain highly qualified employees in senior management positions, and in strategic or core competencies, including engineering, innovation, digital technologies, sales excellence, service, and project management, as well as general production-related labor. The market for highly-skilled talent, leaders and labor in our industry is increasingly competitive. As a result, our success in attracting and retaining employees has depended, and will continue to depend on our ability to offer attractive career growth opportunities, compensation, and benefits, particularly in the areas of services, digital technologies, innovation and data science. In addition, advancing our culture, including with respect to diversity, equity and inclusion is critical to attract and retain talent to enable the continued execution of our strategy, while driving innovation, remaining competitive and creating long-term value. We also need to continue to develop qualified talent to support business growth and robust succession plans, both of which are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0" w:name="page21"/>
    <w:bookmarkEnd w:id="20"/>
    <w:p>
      <w:pPr>
        <w:ind w:right="240"/>
        <w:spacing w:after="0" w:line="234" w:lineRule="auto"/>
        <w:rPr>
          <w:sz w:val="20"/>
          <w:szCs w:val="20"/>
          <w:color w:val="auto"/>
        </w:rPr>
      </w:pPr>
      <w:r>
        <w:rPr>
          <w:rFonts w:ascii="Arial" w:cs="Arial" w:eastAsia="Arial" w:hAnsi="Arial"/>
          <w:sz w:val="18"/>
          <w:szCs w:val="18"/>
          <w:color w:val="auto"/>
        </w:rPr>
        <w:t>critical to our long-term success. A failure to attract or retain highly engaged and skilled talent and labor could adversely affect our ability to meet and exceed the needs of our customers, operate and grow our business and execute our strategy.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can be difficult to predict.</w:t>
      </w:r>
    </w:p>
    <w:p>
      <w:pPr>
        <w:spacing w:after="0" w:line="124"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Our business is impacted by a substantial amount of short cycle, and book-and-bill business, which we have limited insight into, particularly for the business that we transact through our significant distribution network. We are also impacted by our long cycle business, including large projects, which could be unexpectedly cancelled, or whose timing can change based upon customer requirements due to a number of factors affecting the project that are beyond our knowledge or control, such as funding, readiness of the project and regulatory approvals. Additionally, we rely on a complex global supply chain, which has been subject to dynamic conditions, unexpected changes and disruptions during 2021 and into 2022 due to macroeconomic factors associated with COVID-19. These supply chain challenges have affected, and may continue to affect, our production and ability to timely fill customer orders. We cannot predict when, or if, these conditions will ease or subside in the future. Accordingly, our financial results for any given period have been and will continue to be difficult to predict.</w:t>
      </w:r>
    </w:p>
    <w:p>
      <w:pPr>
        <w:spacing w:after="0" w:line="7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Defects, unanticipated use or inadequate disclosures with respect to our products could adversely affect our business, reputation and financial condition and results of operations.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Defects, inadequacies or quality issues in the manufacture, design, software, security or service of our products (including in products, parts or components that we source from third parties), unanticipated use, or inadequate disclosure of risks relating to the use of our products could result in product safety, product security, regulatory or environmental risks, including personal injury, death, property or environmental damage. These events could also lead to recalls, safety or security alerts relating to our products, result in the removal of a product from the market and/or result in warranty or liability claims against us. Although we have liability insurance, we cannot be certain that this insurance coverage will continue to be available to us at a reasonable cost or will be adequate to cover any or all aspects of liability claims. Manufacturing, design, software, security or service defects or inadequacies may also result in contractual damages against us, warranty expenses or issuance of credits, which could impact our profitability. Recalls, removals, and warranty, liability and quality claims can result in significant costs, as well as negative publicity and damage to our reputation that could reduce demand for our products and have a material adverse effect on our business, financial condition and results of operations.</w:t>
      </w:r>
    </w:p>
    <w:p>
      <w:pPr>
        <w:spacing w:after="0" w:line="79"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&amp; Control Solutions segment are affected by the availability, regulation of and interference with radio spectrum that we use.</w:t>
      </w:r>
    </w:p>
    <w:p>
      <w:pPr>
        <w:spacing w:after="0" w:line="68"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 significant portion of the offerings in our Measurement &amp; Control Solutions segment use radio spectrum, which is subject to government regulation. To the extent we introduce new products designed for use in the U.S. or another country, such products may require significant modification or redesign in order to meet frequency requirements and other regulatory specifications. Limitations on frequency availability or the cost of making necessary modifications may preclude us from selling our products in certain countries. The regulations that govern our use of radio spectrum may change, which may require us to modify our products or seek new partnerships, either directly or due to interference caused by new consumer products allowed under the regulations. The inability to modify our products to meet such requirements, the possible delays in completing or the cost of such modifications could have a material adverse effect on our business, financial condition, and results of operations. In addition, we may not be able to secure suitable partners for co-development of products.</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the U.S., our products are primarily designed to use FCC-licensed spectrum in the 900MHz range. If the FCC does not renew our existing spectrum licenses, or materially changes regulations affecting the use of these licenses, our business, financial condition, and results of operations could be adversely affected. In addition, there may be insufficient available frequencies in some markets to sustain or develop our planned operations at a commercially feasible price or at all.</w:t>
      </w:r>
    </w:p>
    <w:p>
      <w:pPr>
        <w:spacing w:after="0" w:line="9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Outside the U.S., certain of our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find partners or customers that have access to sufficient frequencies in some markets to sustain or develop our planned operations, or to find partners or customers that have access to sufficient frequencies in the relevant markets at a commercially feasible price or at all.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1" w:name="page22"/>
    <w:bookmarkEnd w:id="21"/>
    <w:p>
      <w:pPr>
        <w:ind w:right="640"/>
        <w:spacing w:after="0" w:line="285"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our restructuring and realignment plans or our restructuring and realignment may adversely affect our business.</w:t>
      </w:r>
    </w:p>
    <w:p>
      <w:pPr>
        <w:spacing w:after="0" w:line="68"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recent fiscal years, we initiated restructuring and realignment plans in an effort to optimize our cost structure, improve our operational efficiency and effectiveness, strengthen our competitive positioning and better serve our customers. Additionally, in 2020, in response to the business and economic conditions resulting from the COVID-19 pandemic, we initiated additional restructuring and realignment activity. We are also engaged in a multi-year effort to transform many of our support functions and related technologies, including Finance, Human Resources and Procurement. Challenges with the enabling technologies and delays in implementing planned restructuring and realignment activities have delayed the realization of some of the expected operational and financial benefits from such actions. As such, we may not be able to obtain all of the cost savings and benefits that were initially anticipated in connection with our restructuring and realignment plans. Additionally, as a result of these plans, we may experience a loss of continuity or, accumulated knowledge or inefficiencies during transitional periods and ongoing operations. Realignment and restructuring require a significant amount of management and other employees' time and focus, which may divert attention from operating and growing our business.</w:t>
      </w:r>
    </w:p>
    <w:p>
      <w:pPr>
        <w:spacing w:after="0" w:line="1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successful implementation and execution of our restructuring and realignment actions are critical to achieving our expected cost savings, as well as effectively competing in the marketplace and positioning us for future growth. Factors that may impede a successful implementation include the retention of key employees, the impact of regulatory matters including tax, matters involving certain third-party service providers selected to assist us, including staffing, technology, and compliance of service providers with our internal controls over financial reporting, and adverse economic market conditions. If our restructuring and realignment actions are not executed successfully, it could have material adverse impacts on the effectiveness of our internal controls over financial reporting, our competitive position, business, financial condition, cash flows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includes acquisitions, and we may be unable to successfully execute or effectively integrate acquisitions.</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part of our growth strategy, we plan to continue to pursue the acquisition of other companies, assets, technologies, product lines and customer channels that complement or expand our existing business or improve our competitive position. We may not be able to complete acquisitions with favorable terms or timing, or at all, or obtain financing that may be needed to consummate acquisitions. In addition, our results of operations may be adversely impacted by: (i) the failure to successfully integrate acquired businesses into our operations, technology, and financial and other systems, (ii) the failure of acquired businesses to meet or exceed expected returns, which in the past has led to, and in the future may lead to, accounting impairments, (iii) the discovery of unanticipated liabilities, labor relations difficulties, cybersecurity concerns, control or compliance issues, or other issues for which we lack contractual protections, insurance or indemnities.</w:t>
      </w:r>
    </w:p>
    <w:p>
      <w:pPr>
        <w:spacing w:after="0" w:line="9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attention from existing businesses and operations; insufficient internal controls over financial or compliance activities or financial reporting; the failure to realize expected synergies; the assumption of new material risks associated with the acquired businesses; and the loss of key employees of the acquired businesses. Failure to successfully execute our growth strategy via acquisitions and successfully integrate these acquisitions could adversely affect our competitive position, business, financial condition or results of operations.</w:t>
      </w:r>
    </w:p>
    <w:p>
      <w:pPr>
        <w:spacing w:after="0" w:line="78" w:lineRule="exact"/>
        <w:rPr>
          <w:sz w:val="20"/>
          <w:szCs w:val="20"/>
          <w:color w:val="auto"/>
        </w:rPr>
      </w:pPr>
    </w:p>
    <w:p>
      <w:pPr>
        <w:ind w:right="180"/>
        <w:spacing w:after="0" w:line="316" w:lineRule="auto"/>
        <w:rPr>
          <w:sz w:val="20"/>
          <w:szCs w:val="20"/>
          <w:color w:val="auto"/>
        </w:rPr>
      </w:pPr>
      <w:r>
        <w:rPr>
          <w:rFonts w:ascii="Arial" w:cs="Arial" w:eastAsia="Arial" w:hAnsi="Arial"/>
          <w:sz w:val="17"/>
          <w:szCs w:val="17"/>
          <w:b w:val="1"/>
          <w:bCs w:val="1"/>
          <w:i w:val="1"/>
          <w:iCs w:val="1"/>
          <w:color w:val="auto"/>
        </w:rPr>
        <w:t>Weather conditions, including the effects of climate change and associated efforts by governmental or regulatory authorities to mitigate such effects, may cause volatility in our served markets, and may affect our businesses, operations and financial results.</w:t>
      </w:r>
    </w:p>
    <w:p>
      <w:pPr>
        <w:spacing w:after="0" w:line="4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Globally, the frequency and severity of severe weather events due to the effects of climate change is increasing and our facilities, operations and business face related risks and opportunities. The unpredictable nature of weather conditions, including heavy flooding, water stress due to prolonged droughts, and fluctuations in temperatures or weather patterns, including as a result of climate change, can positively or negatively impact portions of our business. For example, heavy flooding and rain events attributable to the effects of global climate change may increase customer demand for some of our solutions that help manage water and storm water overflows, or remove and transfer excess or unwanted water. Prolonged drought conditions may increase demand for our pumping technology used in agriculture and turf irrigation applications. Demand for water reuse applications, including those provided by our treatment business, may also increase as communities look to address water scarcity challenges due to the effects of climate change. In addition, fluctuations in temperatures result in varying levels of demand for our products used in residential and commercial hydronic applications, where homes and buildings use circulating water to heat and cool living spaces. Significant fluctuations in these weather conditions and climate changes can therefore result in volatility in our financial results.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22" w:name="page23"/>
    <w:bookmarkEnd w:id="22"/>
    <w:p>
      <w:pPr>
        <w:ind w:right="360"/>
        <w:spacing w:after="0" w:line="270" w:lineRule="auto"/>
        <w:rPr>
          <w:sz w:val="20"/>
          <w:szCs w:val="20"/>
          <w:color w:val="auto"/>
        </w:rPr>
      </w:pPr>
      <w:r>
        <w:rPr>
          <w:rFonts w:ascii="Arial" w:cs="Arial" w:eastAsia="Arial" w:hAnsi="Arial"/>
          <w:sz w:val="17"/>
          <w:szCs w:val="17"/>
          <w:color w:val="auto"/>
        </w:rPr>
        <w:t>Severe weather events and other effects of climate change have caused, and may in the future cause, disruptions to our facilities and operations, and those of our customers and suppliers. In 2021, a physical risk analysis using the Task Force on Climate Related Financial Disclosures (“TCFD”) framework indicated that certain of our facilities are at a moderate risk for exposure to water stress, coldwave and wildfire impacts due to the effects of climate change. While we continue to assess these risks, implement mitigation plans and perform business continuity and disaster recovery planning, we cannot be sure that disruptions with material adverse effects will not occur.</w:t>
      </w:r>
    </w:p>
    <w:p>
      <w:pPr>
        <w:spacing w:after="0" w:line="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Governments may implement emissions trading schemes, carbon taxes, fuel taxes and other policies to reduce the impacts of climate change that could impact our business and financial results. The timing, scope and effect of governments’ implementation of carbon pricing and taxes are uncertain, but could significantly increase our expenses in the future and therefore have material adverse impacts on our business, financial condition, cash flows, results of operations and market price of our common stock.</w:t>
      </w:r>
    </w:p>
    <w:p>
      <w:pPr>
        <w:spacing w:after="0" w:line="76"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Our commitments, goals, targets, objectives and initiatives related to sustainability, and our public statements and disclosures regarding them, expose us to numerous risks.</w:t>
      </w:r>
    </w:p>
    <w:p>
      <w:pPr>
        <w:spacing w:after="0" w:line="5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We have developed, and will continue to establish, goals, targets, and other objectives related to sustainability matters, including our sustainability goals as well as commitments to preliminary Science-Based Targets aligned to limiting global temperature increase to 1.5°C above pre-industrial level, in line with the Paris Agreement, by 2030 and net zero greenhouse gas (GHG) emissions (Scope 1, 2 and 3) before 2050. Achieving these goals and commitments will require evolving our business, capital investment and the development of technology that might not currently exist. We might incur additional expense or be required to recognize impairment charges in connection with our efforts. These commitments, goals, targets and other objectives reflect our current plans and there is no guarantee that they will be achieved. Our efforts to research, establish, accomplish, and accurately report on these commitments, goals, targets, and objectives expose us to operational, reputational, financial, legal, and other risks. Our ability to achieve any stated commitment, goal, target, or objective is subject to factors and conditions, many of which are outside of our control, including the pace of changes in technology, the availability of requisite financing, and the availability of suppliers that can meet our sustainability and other standards.</w:t>
      </w: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business may face increased scrutiny from the investment community, other stakeholders, regulators, and the media related to our sustainability activities, including our commitments, goals, targets, and objectives, and our methodologies and timelines for pursuing them. If our sustainability practices do not meet investor or other stakeholder expectations and standards, which continue to evolve, our reputation, our ability to attract or retain employees, and our attractiveness as an investment, business partner, or as an acquiror could be negatively impacted. Similarly, our failure or perceived failure to pursue or fulfill our commitments, goals, targets, and objectives, to comply with ethical, environmental, or other standards, regulations, or expectations, or to satisfy reporting standards with respect to these matters, within the timelines we announce, or at all, could have operational, reputational, financial and legal impacts.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obligations may adversely affect our business and our ability to meet our obligations and pay dividends.</w:t>
      </w:r>
    </w:p>
    <w:p>
      <w:pPr>
        <w:spacing w:after="0" w:line="1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2021, our total outstanding indebtedness was $2,440 million as described under “Liquidity and Capital Resources" and we may incur additional debt in the future. Our indebtedness could have adverse consequences to us and our investors, including:</w:t>
      </w:r>
    </w:p>
    <w:p>
      <w:pPr>
        <w:spacing w:after="0" w:line="91" w:lineRule="exact"/>
        <w:rPr>
          <w:sz w:val="20"/>
          <w:szCs w:val="20"/>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or borrow additional funds;</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reducing or eliminating our ability to pay future dividends or repurchase our common stock;</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industry;</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make principal and interest payments;</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reducing the cash flows available to fund working capital, capital expenditures, acquisitions or other investments to grow our business;</w:t>
      </w:r>
    </w:p>
    <w:p>
      <w:pPr>
        <w:spacing w:after="0" w:line="115" w:lineRule="exact"/>
        <w:rPr>
          <w:rFonts w:ascii="Arial" w:cs="Arial" w:eastAsia="Arial" w:hAnsi="Arial"/>
          <w:sz w:val="18"/>
          <w:szCs w:val="18"/>
          <w:color w:val="auto"/>
        </w:rPr>
      </w:pPr>
    </w:p>
    <w:p>
      <w:pPr>
        <w:ind w:left="460" w:right="300" w:hanging="332"/>
        <w:spacing w:after="0" w:line="259"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amount of interest expense that we must pay because some of our borrowings are at variable interest rates, which, as interest rates increase, would result in higher interest expense; and</w:t>
      </w:r>
    </w:p>
    <w:p>
      <w:pPr>
        <w:spacing w:after="0" w:line="90" w:lineRule="exact"/>
        <w:rPr>
          <w:rFonts w:ascii="Arial" w:cs="Arial" w:eastAsia="Arial" w:hAnsi="Arial"/>
          <w:sz w:val="18"/>
          <w:szCs w:val="18"/>
          <w:color w:val="auto"/>
        </w:rPr>
      </w:pPr>
    </w:p>
    <w:p>
      <w:pPr>
        <w:ind w:right="140" w:firstLine="128"/>
        <w:spacing w:after="0" w:line="384" w:lineRule="auto"/>
        <w:tabs>
          <w:tab w:leader="none" w:pos="43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risk of a future credit rating downgrade, which could increase future debt costs and limit the availability of debt financing. In addition, there can be no assurance that future borrowings or equity financing will be available to us on favorable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ind w:right="280"/>
        <w:spacing w:after="0" w:line="259" w:lineRule="auto"/>
        <w:rPr>
          <w:sz w:val="20"/>
          <w:szCs w:val="20"/>
          <w:color w:val="auto"/>
        </w:rPr>
      </w:pPr>
      <w:r>
        <w:rPr>
          <w:rFonts w:ascii="Arial" w:cs="Arial" w:eastAsia="Arial" w:hAnsi="Arial"/>
          <w:sz w:val="18"/>
          <w:szCs w:val="18"/>
          <w:color w:val="auto"/>
        </w:rPr>
        <w:t>terms or at all for the payment or refinancing of our indebtedness. The terms of any future debt indentures may also impose additional and more stringent restrictions on our operations than we currently have.</w:t>
      </w:r>
    </w:p>
    <w:p>
      <w:pPr>
        <w:spacing w:after="0" w:line="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make scheduled principal payments of, to pay interest on, or to refinance our indebtedness and to satisfy our other debt obligations will depend on our future cash flows from operations, which may not be sufficient and may be affected by factors beyond our control. If we are unable to service our indebtedness, our business, financial condition and results of operations would be materially adversely affected.</w:t>
      </w:r>
    </w:p>
    <w:p>
      <w:pPr>
        <w:spacing w:after="0" w:line="76"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We may incur additional impairment charges for our goodwill and other indefinite-lived intangible assets which would negatively impact our operating results.</w:t>
      </w:r>
    </w:p>
    <w:p>
      <w:pPr>
        <w:spacing w:after="0" w:line="6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We have a significant amount of goodwill and purchased intangible assets on our balance sheet as a result of acquisitions. As of December 31, 2021, the net carrying value of our goodwill and other indefinite-lived intangible assets totaled approximately $3 billion. In accordance with generally accepted accounting principles, we evaluate these assets for impairment at least annually, or more frequently if changes in events or circumstances indicate it is more likely than not that a potential impairment could exist. Significant negative industry or economic trends, disruptions to our business or our customers’ business, inability to effectively integrate or scale acquired businesses, increases in cost of capital, unexpected significant changes or planned changes in use of the assets, failure of the FCC to renew radio spectrum licenses, and divestitures and market capitalization declines may cause impairment of our goodwill and other indefinite-lived intangible assets. For example, in 2020 we recorded goodwill impairment charges $58 million within our Measurement &amp; Control Solutions segment primarily related to the performance of the business of the Pure Technologies Ltd. acquisition ("Pure") (as detailed in </w:t>
      </w:r>
      <w:r>
        <w:rPr>
          <w:rFonts w:ascii="Arial" w:cs="Arial" w:eastAsia="Arial" w:hAnsi="Arial"/>
          <w:sz w:val="18"/>
          <w:szCs w:val="18"/>
          <w:b w:val="1"/>
          <w:bCs w:val="1"/>
          <w:color w:val="auto"/>
        </w:rPr>
        <w:t>Note 12</w:t>
      </w:r>
      <w:r>
        <w:rPr>
          <w:rFonts w:ascii="Arial" w:cs="Arial" w:eastAsia="Arial" w:hAnsi="Arial"/>
          <w:sz w:val="18"/>
          <w:szCs w:val="18"/>
          <w:color w:val="auto"/>
        </w:rPr>
        <w:t>, “Goodwill and Other Intangible Assets”). We did not record goodwill impairment charges within our Measurement &amp; Control Solutions segment in 2021. Material impairment charges have in the past and could in the future adversely affect our results of operations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Tax</w:t>
      </w:r>
    </w:p>
    <w:p>
      <w:pPr>
        <w:spacing w:after="0" w:line="115"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b w:val="1"/>
          <w:bCs w:val="1"/>
          <w:i w:val="1"/>
          <w:iCs w:val="1"/>
          <w:color w:val="auto"/>
        </w:rPr>
        <w:t>Failure to comply with laws, regulations and policies, including the U.S. Foreign Corrupt Practices Act, other applicable anti-corruption laws, trade regulations, and data privacy and security laws, could have a material adverse impact on our business, results of operations, financial condition and reputation.</w:t>
      </w:r>
    </w:p>
    <w:p>
      <w:pPr>
        <w:spacing w:after="0" w:line="8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Given our global operations, we are subject to regulation under a wide variety of U.S. and non-U.S. laws, regulations and policies, including laws and regulations related to anti-corruption, trade including export and import compliance, anti-trust and money laundering. Our policies mandate compliance with these laws and regulations. The U.S. Foreign Corrupt Practices Act (the "FCPA"), the U.K. Bribery Act of 2010 and similar anti-corruption laws in other jurisdictions generally prohibit companies and their intermediaries from making improper payments to government officials or other persons for the purpose of obtaining or retaining business. We operate in many parts of the world that are recognized as having governmental and commercial corruption and in certain circumstances, strict compliance with anti-corruption laws may conflict with local business customs and practices. We cannot guarantee that our internal controls, policies and procedures will always prevent and protect us from improper conduct of our employees or business partners. In the event that we believe or have reason to believe that our employees or business partners have or may have violated applicable laws, regulations or policies, including anti -corruption laws, we are required to investigate the relevant facts and circumstances, which can be expensive and require significant time and attention from senior management. Any such violation could result in substantial fines, sanctions, civil and/or criminal penalties, termination of relationships with business partners and curtailment of operations in certain jurisdictions, and as a result might materially and adversely affect our business, results of operations or financial condition. In addition, actual or alleged violations could damage our reputation and ability to do business.</w:t>
      </w:r>
    </w:p>
    <w:p>
      <w:pPr>
        <w:spacing w:after="0" w:line="8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Additionally, to conduct our operations, we regularly move data across borders, and consequently we are subject to a variety of continuously evolving and developing laws and regulations regarding data privacy, data protection and data security, including the California Consumer Protection Act, the EU's GDPR and China’s Personal Information Protection Law (“PIPL”). The scope of the laws that may be applicable to us is evolving, often uncertain and may be conflicting, particularly with respect to foreign laws. GDPR greatly increases the jurisdictional reach of EU law and adds a broad array of requirements for handling personal data, including the enforcement of data subject rights, enhanced security requirements, obligations to guarantee EU data subject rights are not compromised in countries outside the EU, and public disclosure of significant data breaches. Other countries, such as China with its PIPL, have enacted or are enacting data localization and security laws that require data to stay within their borders. All of these evolving legal and operational requirements impose significant costs of compliance that are likely to increase over time. In addition, any such violation could result in substantial fines, sanctions and/or civil penalties, damage to our reputation and might materially and adversely affect our business, results of operations or financial condition.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Changes in our effective tax rates and tax expenses may adversely affect our financial results.</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sell our products in approximately 150 countries and 56% of our revenue was generated outside the U.S. in 2021. Given the global nature of our business, a number of factors may increase our effective tax rates and tax expense, including:</w:t>
      </w:r>
    </w:p>
    <w:p>
      <w:pPr>
        <w:spacing w:after="0" w:line="91" w:lineRule="exact"/>
        <w:rPr>
          <w:sz w:val="20"/>
          <w:szCs w:val="20"/>
          <w:color w:val="auto"/>
        </w:rPr>
      </w:pPr>
    </w:p>
    <w:p>
      <w:pPr>
        <w:ind w:left="440" w:hanging="31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geographic mix of jurisdictions in which profits are earned and taxed;</w:t>
      </w:r>
    </w:p>
    <w:p>
      <w:pPr>
        <w:spacing w:after="0" w:line="8" w:lineRule="exact"/>
        <w:rPr>
          <w:rFonts w:ascii="Arial" w:cs="Arial" w:eastAsia="Arial" w:hAnsi="Arial"/>
          <w:sz w:val="18"/>
          <w:szCs w:val="18"/>
          <w:color w:val="auto"/>
        </w:rPr>
      </w:pPr>
    </w:p>
    <w:p>
      <w:pPr>
        <w:ind w:left="440" w:hanging="31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tax rates and tax laws in jurisdictions in which we conduct business;</w:t>
      </w:r>
    </w:p>
    <w:p>
      <w:pPr>
        <w:spacing w:after="0" w:line="8" w:lineRule="exact"/>
        <w:rPr>
          <w:rFonts w:ascii="Arial" w:cs="Arial" w:eastAsia="Arial" w:hAnsi="Arial"/>
          <w:sz w:val="18"/>
          <w:szCs w:val="18"/>
          <w:color w:val="auto"/>
        </w:rPr>
      </w:pPr>
    </w:p>
    <w:p>
      <w:pPr>
        <w:ind w:left="440" w:hanging="31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resolution of tax issues arising from tax examinations by various tax authorities; and</w:t>
      </w:r>
    </w:p>
    <w:p>
      <w:pPr>
        <w:spacing w:after="0" w:line="8" w:lineRule="exact"/>
        <w:rPr>
          <w:rFonts w:ascii="Arial" w:cs="Arial" w:eastAsia="Arial" w:hAnsi="Arial"/>
          <w:sz w:val="18"/>
          <w:szCs w:val="18"/>
          <w:color w:val="auto"/>
        </w:rPr>
      </w:pPr>
    </w:p>
    <w:p>
      <w:pPr>
        <w:ind w:left="440" w:hanging="31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of our deferred tax assets and liabilities.</w:t>
      </w:r>
    </w:p>
    <w:p>
      <w:pPr>
        <w:spacing w:after="0" w:line="11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Additionally, tax laws, regulations, and administrative practices in various jurisdictions may be subject to significant change, with or without notice, due to economic, political, and other conditions, and significant judgment is required in evaluating and estimating our provision and accruals for these taxes. The recent agreement by countries in the Organization for Economic Cooperation and Development to implement additional legislative changes increases the uncertainty of future income tax positions, and such changes may result in additional tax expense and effective tax rate volatility.</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businesses are regularly examined by various tax authorities throughout the world and the resolutions of these examinations do not typically have a significant impact on our effective tax rates and tax expenses but they could. For example, following an examination regarding aspects of the reorganization of our European business that occurred in 2013, the Swedish tax authority issued a tax assessment to Xylem’s Swedish subsidiary in 2019, which we are appealing as further described in Note 7, “Income Taxes.” This examination as well as other examinations can result in increased tax assessments, and settlement or litigation about the assessments and final resolution could be unfavorable to Xylem. We regularly assess the likelihood of favorable or unfavorable outcomes resulting from these examinations to determine the adequacy of our provision for income taxes, including unrecognized tax benefits; however, developments in an audit or litigation could materially and adversely affect us. Although we believe our tax estimates and accruals are reasonable, there can be no assurance that any final determination will not be materially different than the treatment reflected in its historical income tax provisions, accruals and unrecognized tax benefits, which could materially and adversely affect our business, operating results, cash flows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subject to various laws, regulations and other requirements of government authorities in the U.S. and foreign countries, any violation of which could potentially create substantial liability for us and damage our reputation. Changes in laws, ordinances, regulations or other government policies, the nature, timing, and effect of which are uncertain, may significantly increase our expenses and liabilities.</w:t>
      </w:r>
    </w:p>
    <w:p>
      <w:pPr>
        <w:spacing w:after="0" w:line="9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environmental matters, tax, intellectual property, acquisitions or divestitures, product liability, property damage, personal injury, privacy, employment, labor and pensions, government contract issues and commercial or contractual disputes. Our continued transition to connected and digital technologies and solutions has increased our exposure to intellectual property litigation and we expect that this risk will continue to increase as we execute on our innovation and technology priorities.</w:t>
      </w:r>
    </w:p>
    <w:p>
      <w:pPr>
        <w:spacing w:after="0" w:line="99"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auto"/>
        </w:rPr>
        <w:t>It is not possible to predict with certainty the outcome of claims, investigations, regulatory proceedings and lawsuits, and we could in the future incur judgments, fines or penalties or enter into settlements and claims that could have an adverse effect on our reputation, our business, results of operations and financial condition. Additionally, we may be required to change or cease operations at one or more facilities if a regulatory agency determines that we have failed to comply with laws, regulations or orders applicable to our business.</w:t>
      </w:r>
    </w:p>
    <w:p>
      <w:pPr>
        <w:spacing w:after="0" w:line="8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global and diverse nature of our operations, coupled with the increase in regulation and enforcement in many regions of the globe, means that legal and compliance risks will continue to exist and additional legal and regulatory proceedings and other contingencies, the outcome of which cannot be predicted with certainty, will arise from time to time. In addition, subsequent developments in legal and regulatory proceedings may affect our assessments and estimates of loss contingencies recorded as a reserve and require us to make payments in excess of our reserves, which could have an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5" w:name="page26"/>
    <w:bookmarkEnd w:id="25"/>
    <w:p>
      <w:pPr>
        <w:ind w:right="360"/>
        <w:spacing w:after="0" w:line="285"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upon the intellectual property rights of third parties could negatively affect us.</w:t>
      </w:r>
    </w:p>
    <w:p>
      <w:pPr>
        <w:spacing w:after="0" w:line="68"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own numerous patents, trademarks, copyrights, trade secrets and other intellectual property and licenses to intellectual property owned by others, that are important to our business. Our intellectual property rights may provide us with competitive advantage because they may help us differentiate our technologies, products and services, including our growing portfolio of data analytics and digitally-enabled offerings. However, our current or future intellectual property rights may not be sufficiently broad or may be challenged, invalidated, circumvented, misappropriated, independently developed, or designed-around, particularly given our operations in countries where laws governing intellectual property rights are not highly developed, protected or enforced. Our failure to obtain or maintain intellectual property rights that convey competitive advantage, adequately protect our intellectual property, or detect or prevent circumvention, misappropriation or unauthorized use of such property, as well as the cost of enforcing our intellectual property rights, could adversely impact our business, financial condition and results of operations.</w:t>
      </w:r>
    </w:p>
    <w:p>
      <w:pPr>
        <w:spacing w:after="0" w:line="1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From time to time, we receive notices from third parties alleging intellectual property infringement or misappropriation. Any dispute or litigation regarding intellectual property could be costly and time-consuming to defend due to the complexity and uncertainty of intellectual property litigation. We may not be successful in asserting a counterclaim, or negotiating a license, in response to a claim of infringement or misappropriation. In addition, as a result of such claims of infringement or misappropriation, we could lose our rights to use critical technology, be unable to license critical technology or sell critical products and services, be required to pay substantial damages or license fees with respect to the use of third-party intellectual property rights, or be required to redesign our products at substantial cost, any of which could adversely impact our competitive position, financial condition and results of operations. Even if we successfully defend against claims of infringement or misappropriation, we may incur significant costs and diversion of management attention and resources, which could adversely affect our business, financial condition and results of operations.</w:t>
      </w:r>
    </w:p>
    <w:p>
      <w:pPr>
        <w:spacing w:after="0" w:line="80"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Developments in, and compliance with, current and future environmental and climate change laws and regulations could impact our business, financial condition or results of operations.</w:t>
      </w:r>
    </w:p>
    <w:p>
      <w:pPr>
        <w:spacing w:after="0" w:line="68" w:lineRule="exact"/>
        <w:rPr>
          <w:sz w:val="20"/>
          <w:szCs w:val="20"/>
          <w:color w:val="auto"/>
        </w:rPr>
      </w:pPr>
    </w:p>
    <w:p>
      <w:pPr>
        <w:ind w:right="1100"/>
        <w:spacing w:after="0" w:line="259" w:lineRule="auto"/>
        <w:rPr>
          <w:sz w:val="20"/>
          <w:szCs w:val="20"/>
          <w:color w:val="auto"/>
        </w:rPr>
      </w:pPr>
      <w:r>
        <w:rPr>
          <w:rFonts w:ascii="Arial" w:cs="Arial" w:eastAsia="Arial" w:hAnsi="Arial"/>
          <w:sz w:val="18"/>
          <w:szCs w:val="18"/>
          <w:color w:val="auto"/>
        </w:rPr>
        <w:t>Our business, operations, and product and service offerings are subject to and affected by many federal, state, local and foreign environmental laws and regulations, including those enacted in response to climate change concerns.</w:t>
      </w:r>
    </w:p>
    <w:p>
      <w:pPr>
        <w:spacing w:after="0" w:line="9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Increasing public and governmental awareness and concern regarding the effects of climate change has led to significant legislative and regulatory efforts to limit greenhouse gas emissions and will likely result in further environmental and climate change laws and regulations. Compliance with existing laws and regulations currently requires, and compliance with future laws is expected to continue to require, increasing operating and capital expenditures, including with respect to the design or re-design of our products in order to conform to changing environmental standards and regulations, which could impact our business, financial condition and results of operations. Furthermore, environmental laws and regulations may authorize substantial fines and criminal sanctions as well as facility shutdowns to address violations, and may require the installation of costly pollution control equipment or operational changes to limit emissions or discharges. We also incur, and expect to continue to incur, costs to comply with current environmental laws and regulations. Developments such as the adoption of new environmental laws and regulations, stricter enforcement of existing laws and regulations, violations by us of such laws and regulations, discovery of previously unknown or more extensive contamination, litigation involving environmental impacts, our inability to recover costs associated with any such developments, or financial insolvency of other responsible parties could in the future have a material adverse effect on our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Spin-off from ITT Corporation may expose us to potential liabilities.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Pursuant to the Distribution Agreement and certain other agreements with ITT (now ITT LLC; acquired by Delticus HoldCo, L.P., a portfolio company of Warburg Pincus LLC, on July 1, 2021) and Exelis (acquired by Harris Corporation, now L3Harris Technologies, Inc.), ITT and Exelis agreed to indemnify us for certain liabilities, and we agreed to indemnify ITT and Exelis for certain liabilities. Indemnities that we may be required to provide ITT and Exelis may be significant and could negatively impact our business. Third parties could also seek to hold us responsible for any of the liabilities that ITT or Exelis agreed to retain. Further, there can be no assurance that the indemnities from ITT and Exelis will be sufficient to protect us against the full amount of such liabilities, or that ITT and Exelis will be able to fully satisfy their indemnification obligations. Moreover, even if we ultimately were to succeed in recovering from ITT and Exelis any amounts for which we are held liable, we may be temporarily required to bear these losses ourselves. Each of these risks could negatively affect our business, results of operations, cash flow and financial condition.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3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cannot predict the prices at which our common stock may trade. The market price of our common stock may fluctuate significantly, depending on many factors, some of which may be beyond our control, including:</w:t>
      </w:r>
    </w:p>
    <w:p>
      <w:pPr>
        <w:spacing w:after="0" w:line="91" w:lineRule="exact"/>
        <w:rPr>
          <w:sz w:val="20"/>
          <w:szCs w:val="20"/>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88"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long-term financial or non-financial, (including sustainability related) targets or commitments;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88"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repurchases or payment of dividends;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awards or technologies, product and service offerings;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divestitures;</w:t>
      </w:r>
    </w:p>
    <w:p>
      <w:pPr>
        <w:spacing w:after="0" w:line="88"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or guidance by us or analysts, or our ability to meet such guidance and estimates;</w:t>
      </w:r>
    </w:p>
    <w:p>
      <w:pPr>
        <w:spacing w:after="0" w:line="61"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execute restructuring and realignment actions;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secure necessary parts, components and materials from our global supply chain;</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inflation, including our ability to offset these impacts through pricing and productivity actions;</w:t>
      </w:r>
    </w:p>
    <w:p>
      <w:pPr>
        <w:spacing w:after="0" w:line="88" w:lineRule="exact"/>
        <w:rPr>
          <w:rFonts w:ascii="Arial" w:cs="Arial" w:eastAsia="Arial" w:hAnsi="Arial"/>
          <w:sz w:val="18"/>
          <w:szCs w:val="18"/>
          <w:color w:val="auto"/>
        </w:rPr>
      </w:pPr>
    </w:p>
    <w:p>
      <w:pPr>
        <w:ind w:left="660" w:right="120" w:hanging="330"/>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or environmental disasters, as well as the effects of climate change or climate-related considerations that investors believe may affect us;</w:t>
      </w:r>
    </w:p>
    <w:p>
      <w:pPr>
        <w:spacing w:after="0" w:line="50" w:lineRule="exact"/>
        <w:rPr>
          <w:rFonts w:ascii="Arial" w:cs="Arial" w:eastAsia="Arial" w:hAnsi="Arial"/>
          <w:sz w:val="18"/>
          <w:szCs w:val="18"/>
          <w:color w:val="auto"/>
        </w:rPr>
      </w:pPr>
    </w:p>
    <w:p>
      <w:pPr>
        <w:ind w:left="660" w:hanging="330"/>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or instability arising from the global geopolitical environment or events, the ongoing COVID-19 pandemic or other actual or potential epidemics, pandemics, or other idiosyncratic events;</w:t>
      </w:r>
    </w:p>
    <w:p>
      <w:pPr>
        <w:spacing w:after="0" w:line="50"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impacts;</w:t>
      </w:r>
    </w:p>
    <w:p>
      <w:pPr>
        <w:spacing w:after="0" w:line="88"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budgets or spending of federal, state and local governmental entities around the world;</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from any material litigation, governmental or regulatory body investigation, or tax examination;</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88"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impact of trade protection measures including tariffs and new and existing domestic content requirements; and</w:t>
      </w:r>
    </w:p>
    <w:p>
      <w:pPr>
        <w:spacing w:after="0" w:line="75" w:lineRule="exact"/>
        <w:rPr>
          <w:rFonts w:ascii="Arial" w:cs="Arial" w:eastAsia="Arial" w:hAnsi="Arial"/>
          <w:sz w:val="18"/>
          <w:szCs w:val="18"/>
          <w:color w:val="auto"/>
        </w:rPr>
      </w:pPr>
    </w:p>
    <w:p>
      <w:pPr>
        <w:ind w:left="640" w:hanging="31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market fluctuations or general economic conditions and other external factors.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These broad market fluctuations could adversely affect the trading price of our common stock.</w:t>
      </w:r>
    </w:p>
    <w:p>
      <w:pPr>
        <w:spacing w:after="0" w:line="200" w:lineRule="exact"/>
        <w:rPr>
          <w:sz w:val="20"/>
          <w:szCs w:val="20"/>
          <w:color w:val="auto"/>
        </w:rPr>
      </w:pPr>
    </w:p>
    <w:p>
      <w:pPr>
        <w:spacing w:after="0" w:line="2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40"/>
          </w:cols>
          <w:pgMar w:left="320" w:top="990" w:right="53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approximately 345 locations in more than 50 countries. These properties total approximately 13 million square feet, of which more than 300 locations, or approximately 7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State or</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Approx.</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34"/>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3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60" w:type="dxa"/>
            <w:vAlign w:val="bottom"/>
            <w:gridSpan w:val="10"/>
            <w:vMerge w:val="restart"/>
          </w:tcPr>
          <w:p>
            <w:pPr>
              <w:jc w:val="center"/>
              <w:ind w:right="920"/>
              <w:spacing w:after="0"/>
              <w:rPr>
                <w:sz w:val="20"/>
                <w:szCs w:val="20"/>
                <w:color w:val="auto"/>
              </w:rPr>
            </w:pPr>
            <w:r>
              <w:rPr>
                <w:rFonts w:ascii="Arial" w:cs="Arial" w:eastAsia="Arial" w:hAnsi="Arial"/>
                <w:sz w:val="14"/>
                <w:szCs w:val="14"/>
                <w:b w:val="1"/>
                <w:bCs w:val="1"/>
                <w:color w:val="auto"/>
              </w:rPr>
              <w:t>Principal Business Activity</w:t>
            </w:r>
          </w:p>
        </w:tc>
        <w:tc>
          <w:tcPr>
            <w:tcW w:w="15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Square</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gridSpan w:val="2"/>
            <w:vMerge w:val="continue"/>
          </w:tcPr>
          <w:p>
            <w:pPr>
              <w:spacing w:after="0"/>
              <w:rPr>
                <w:sz w:val="15"/>
                <w:szCs w:val="15"/>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60" w:type="dxa"/>
            <w:vAlign w:val="bottom"/>
            <w:gridSpan w:val="10"/>
            <w:vMerge w:val="continue"/>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2"/>
        </w:trPr>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5"/>
          </w:tcPr>
          <w:p>
            <w:pPr>
              <w:jc w:val="center"/>
              <w:spacing w:after="0" w:line="182" w:lineRule="exact"/>
              <w:rPr>
                <w:sz w:val="20"/>
                <w:szCs w:val="20"/>
                <w:color w:val="auto"/>
              </w:rPr>
            </w:pPr>
            <w:r>
              <w:rPr>
                <w:rFonts w:ascii="Arial" w:cs="Arial" w:eastAsia="Arial" w:hAnsi="Arial"/>
                <w:sz w:val="18"/>
                <w:szCs w:val="18"/>
                <w:b w:val="1"/>
                <w:bCs w:val="1"/>
                <w:i w:val="1"/>
                <w:iCs w:val="1"/>
                <w:color w:val="auto"/>
                <w:w w:val="99"/>
              </w:rPr>
              <w:t>Water Infrastructure</w:t>
            </w:r>
          </w:p>
        </w:tc>
        <w:tc>
          <w:tcPr>
            <w:tcW w:w="980" w:type="dxa"/>
            <w:vAlign w:val="bottom"/>
            <w:tcBorders>
              <w:top w:val="single" w:sz="8" w:color="auto"/>
            </w:tcBorders>
            <w:gridSpan w:val="3"/>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Sweden</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India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Sweden</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NJ</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China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Quenington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Kingdom</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86,000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7"/>
          </w:tcPr>
          <w:p>
            <w:pPr>
              <w:jc w:val="center"/>
              <w:ind w:right="1340"/>
              <w:spacing w:after="0" w:line="198" w:lineRule="exact"/>
              <w:rPr>
                <w:sz w:val="20"/>
                <w:szCs w:val="20"/>
                <w:color w:val="auto"/>
              </w:rPr>
            </w:pPr>
            <w:r>
              <w:rPr>
                <w:rFonts w:ascii="Arial" w:cs="Arial" w:eastAsia="Arial" w:hAnsi="Arial"/>
                <w:sz w:val="18"/>
                <w:szCs w:val="18"/>
                <w:b w:val="1"/>
                <w:bCs w:val="1"/>
                <w:i w:val="1"/>
                <w:iCs w:val="1"/>
                <w:color w:val="auto"/>
                <w:w w:val="99"/>
              </w:rPr>
              <w:t>Applied Water</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IL</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Italy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China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Abony</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Hungary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Stockerau</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Austria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Poland</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80" w:type="dxa"/>
            <w:vAlign w:val="bottom"/>
            <w:gridSpan w:val="11"/>
          </w:tcPr>
          <w:p>
            <w:pPr>
              <w:jc w:val="center"/>
              <w:ind w:right="500"/>
              <w:spacing w:after="0" w:line="198" w:lineRule="exact"/>
              <w:rPr>
                <w:sz w:val="20"/>
                <w:szCs w:val="20"/>
                <w:color w:val="auto"/>
              </w:rPr>
            </w:pPr>
            <w:r>
              <w:rPr>
                <w:rFonts w:ascii="Arial" w:cs="Arial" w:eastAsia="Arial" w:hAnsi="Arial"/>
                <w:sz w:val="18"/>
                <w:szCs w:val="18"/>
                <w:b w:val="1"/>
                <w:bCs w:val="1"/>
                <w:i w:val="1"/>
                <w:iCs w:val="1"/>
                <w:color w:val="auto"/>
                <w:w w:val="99"/>
              </w:rPr>
              <w:t>Measurement &amp; Control Solutions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AR</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NC</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460" w:type="dxa"/>
            <w:vAlign w:val="bottom"/>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Weilheim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PA</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Yellow Springs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rPr>
              <w:t>OH</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gridSpan w:val="8"/>
          </w:tcPr>
          <w:p>
            <w:pPr>
              <w:jc w:val="center"/>
              <w:ind w:right="1120"/>
              <w:spacing w:after="0" w:line="198" w:lineRule="exact"/>
              <w:rPr>
                <w:sz w:val="20"/>
                <w:szCs w:val="20"/>
                <w:color w:val="auto"/>
              </w:rPr>
            </w:pPr>
            <w:r>
              <w:rPr>
                <w:rFonts w:ascii="Arial" w:cs="Arial" w:eastAsia="Arial" w:hAnsi="Arial"/>
                <w:sz w:val="18"/>
                <w:szCs w:val="18"/>
                <w:b w:val="1"/>
                <w:bCs w:val="1"/>
                <w:i w:val="1"/>
                <w:iCs w:val="1"/>
                <w:color w:val="auto"/>
                <w:w w:val="98"/>
              </w:rPr>
              <w:t>Regional Locations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Arab Emirates</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46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Kingdom</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8"/>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France</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1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46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Owned</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60" w:type="dxa"/>
            <w:vAlign w:val="bottom"/>
            <w:tcBorders>
              <w:bottom w:val="single" w:sz="8" w:color="auto"/>
            </w:tcBorders>
            <w:gridSpan w:val="7"/>
          </w:tcPr>
          <w:p>
            <w:pPr>
              <w:jc w:val="center"/>
              <w:spacing w:after="0" w:line="198" w:lineRule="exact"/>
              <w:rPr>
                <w:sz w:val="20"/>
                <w:szCs w:val="20"/>
                <w:color w:val="auto"/>
              </w:rPr>
            </w:pPr>
            <w:r>
              <w:rPr>
                <w:rFonts w:ascii="Arial" w:cs="Arial" w:eastAsia="Arial" w:hAnsi="Arial"/>
                <w:sz w:val="18"/>
                <w:szCs w:val="18"/>
                <w:b w:val="1"/>
                <w:bCs w:val="1"/>
                <w:i w:val="1"/>
                <w:iCs w:val="1"/>
                <w:color w:val="auto"/>
                <w:w w:val="99"/>
              </w:rPr>
              <w:t>Corporate Headquarters</w:t>
            </w:r>
          </w:p>
        </w:tc>
        <w:tc>
          <w:tcPr>
            <w:tcW w:w="900" w:type="dxa"/>
            <w:vAlign w:val="bottom"/>
            <w:gridSpan w:val="3"/>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Rye Brook</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NY</w:t>
            </w:r>
          </w:p>
        </w:tc>
        <w:tc>
          <w:tcPr>
            <w:tcW w:w="378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20, "Commitments and Contingencies", of the consolidated financial statements included in Item 8 of Part II of this 10-K for information regarding certain legal and regulatory proceedings we are involved in.</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7, 2022:</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OTHER BUSINESS EXPERIENCE DURING PAST 5</w:t>
            </w:r>
          </w:p>
        </w:tc>
      </w:tr>
      <w:tr>
        <w:trPr>
          <w:trHeight w:val="21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AGE</w:t>
            </w:r>
          </w:p>
        </w:tc>
        <w:tc>
          <w:tcPr>
            <w:tcW w:w="120" w:type="dxa"/>
            <w:vAlign w:val="bottom"/>
          </w:tcPr>
          <w:p>
            <w:pPr>
              <w:spacing w:after="0"/>
              <w:rPr>
                <w:sz w:val="18"/>
                <w:szCs w:val="18"/>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TITLE</w:t>
            </w:r>
          </w:p>
        </w:tc>
        <w:tc>
          <w:tcPr>
            <w:tcW w:w="120" w:type="dxa"/>
            <w:vAlign w:val="bottom"/>
          </w:tcPr>
          <w:p>
            <w:pPr>
              <w:spacing w:after="0"/>
              <w:rPr>
                <w:sz w:val="18"/>
                <w:szCs w:val="18"/>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w:t>
            </w:r>
          </w:p>
        </w:tc>
      </w:tr>
      <w:tr>
        <w:trPr>
          <w:trHeight w:val="181"/>
        </w:trPr>
        <w:tc>
          <w:tcPr>
            <w:tcW w:w="258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Patrick K. Decker</w:t>
            </w:r>
          </w:p>
        </w:tc>
        <w:tc>
          <w:tcPr>
            <w:tcW w:w="700" w:type="dxa"/>
            <w:vAlign w:val="bottom"/>
          </w:tcPr>
          <w:p>
            <w:pPr>
              <w:jc w:val="center"/>
              <w:spacing w:after="0" w:line="181" w:lineRule="exact"/>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15"/>
                <w:szCs w:val="15"/>
                <w:color w:val="auto"/>
              </w:rPr>
            </w:pPr>
          </w:p>
        </w:tc>
        <w:tc>
          <w:tcPr>
            <w:tcW w:w="332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President and Chief Executive Officer</w:t>
            </w:r>
          </w:p>
        </w:tc>
        <w:tc>
          <w:tcPr>
            <w:tcW w:w="4320" w:type="dxa"/>
            <w:vAlign w:val="bottom"/>
          </w:tcPr>
          <w:p>
            <w:pPr>
              <w:spacing w:after="0"/>
              <w:rPr>
                <w:sz w:val="15"/>
                <w:szCs w:val="15"/>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94"/>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Sandra E. Rowland</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24"/>
                <w:szCs w:val="24"/>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Senior VP and Chief Financial Officer</w:t>
            </w:r>
          </w:p>
        </w:tc>
        <w:tc>
          <w:tcPr>
            <w:tcW w:w="4320" w:type="dxa"/>
            <w:vAlign w:val="bottom"/>
          </w:tcPr>
          <w:p>
            <w:pPr>
              <w:spacing w:after="0"/>
              <w:rPr>
                <w:sz w:val="24"/>
                <w:szCs w:val="24"/>
                <w:color w:val="auto"/>
              </w:rPr>
            </w:pPr>
          </w:p>
        </w:tc>
      </w:tr>
      <w:tr>
        <w:trPr>
          <w:trHeight w:val="215"/>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w w:val="98"/>
              </w:rPr>
              <w:t>• Executive Vice President and Chief Financial Officer,</w:t>
            </w: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Harman International Industries Inc. (2015)</w:t>
            </w:r>
          </w:p>
        </w:tc>
      </w:tr>
    </w:tbl>
    <w:p>
      <w:pPr>
        <w:spacing w:after="0" w:line="120" w:lineRule="exact"/>
        <w:rPr>
          <w:sz w:val="20"/>
          <w:szCs w:val="20"/>
          <w:color w:val="auto"/>
        </w:rPr>
      </w:pPr>
    </w:p>
    <w:p>
      <w:pPr>
        <w:sectPr>
          <w:pgSz w:w="11900" w:h="16838" w:orient="portrait"/>
          <w:cols w:equalWidth="0" w:num="1">
            <w:col w:w="11200"/>
          </w:cols>
          <w:pgMar w:left="320" w:top="883" w:right="379" w:bottom="1440" w:gutter="0" w:footer="0" w:header="0"/>
        </w:sectPr>
      </w:pPr>
    </w:p>
    <w:tbl>
      <w:tblPr>
        <w:tblLayout w:type="fixed"/>
        <w:tblInd w:w="18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Dorothy Capers</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3040" w:type="dxa"/>
            <w:vAlign w:val="bottom"/>
          </w:tcPr>
          <w:p>
            <w:pPr>
              <w:ind w:left="200"/>
              <w:spacing w:after="0"/>
              <w:rPr>
                <w:sz w:val="20"/>
                <w:szCs w:val="20"/>
                <w:color w:val="auto"/>
              </w:rPr>
            </w:pPr>
            <w:r>
              <w:rPr>
                <w:rFonts w:ascii="Arial" w:cs="Arial" w:eastAsia="Arial" w:hAnsi="Arial"/>
                <w:sz w:val="18"/>
                <w:szCs w:val="18"/>
                <w:color w:val="auto"/>
                <w:w w:val="99"/>
              </w:rPr>
              <w:t>Senior VP, General Counsel (2022)</w:t>
            </w:r>
          </w:p>
        </w:tc>
      </w:tr>
      <w:tr>
        <w:trPr>
          <w:trHeight w:val="644"/>
        </w:trPr>
        <w:tc>
          <w:tcPr>
            <w:tcW w:w="2040" w:type="dxa"/>
            <w:vAlign w:val="bottom"/>
          </w:tcPr>
          <w:p>
            <w:pPr>
              <w:spacing w:after="0"/>
              <w:rPr>
                <w:sz w:val="20"/>
                <w:szCs w:val="20"/>
                <w:color w:val="auto"/>
              </w:rPr>
            </w:pPr>
            <w:r>
              <w:rPr>
                <w:rFonts w:ascii="Arial" w:cs="Arial" w:eastAsia="Arial" w:hAnsi="Arial"/>
                <w:sz w:val="18"/>
                <w:szCs w:val="18"/>
                <w:color w:val="auto"/>
              </w:rPr>
              <w:t>Franz Cerwinka</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3040" w:type="dxa"/>
            <w:vAlign w:val="bottom"/>
          </w:tcPr>
          <w:p>
            <w:pPr>
              <w:ind w:left="200"/>
              <w:spacing w:after="0"/>
              <w:rPr>
                <w:sz w:val="20"/>
                <w:szCs w:val="20"/>
                <w:color w:val="auto"/>
              </w:rPr>
            </w:pPr>
            <w:r>
              <w:rPr>
                <w:rFonts w:ascii="Arial" w:cs="Arial" w:eastAsia="Arial" w:hAnsi="Arial"/>
                <w:sz w:val="18"/>
                <w:szCs w:val="18"/>
                <w:color w:val="auto"/>
                <w:w w:val="99"/>
              </w:rPr>
              <w:t>Senior VP and President, Emerging</w:t>
            </w:r>
          </w:p>
        </w:tc>
      </w:tr>
      <w:tr>
        <w:trPr>
          <w:trHeight w:val="216"/>
        </w:trPr>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Markets (2020)</w:t>
            </w:r>
          </w:p>
        </w:tc>
      </w:tr>
      <w:tr>
        <w:trPr>
          <w:trHeight w:val="456"/>
        </w:trPr>
        <w:tc>
          <w:tcPr>
            <w:tcW w:w="2040" w:type="dxa"/>
            <w:vAlign w:val="bottom"/>
          </w:tcPr>
          <w:p>
            <w:pPr>
              <w:spacing w:after="0"/>
              <w:rPr>
                <w:sz w:val="20"/>
                <w:szCs w:val="20"/>
                <w:color w:val="auto"/>
              </w:rPr>
            </w:pPr>
            <w:r>
              <w:rPr>
                <w:rFonts w:ascii="Arial" w:cs="Arial" w:eastAsia="Arial" w:hAnsi="Arial"/>
                <w:sz w:val="18"/>
                <w:szCs w:val="18"/>
                <w:color w:val="auto"/>
              </w:rPr>
              <w:t>David Flinton</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3040" w:type="dxa"/>
            <w:vAlign w:val="bottom"/>
          </w:tcPr>
          <w:p>
            <w:pPr>
              <w:ind w:left="200"/>
              <w:spacing w:after="0"/>
              <w:rPr>
                <w:sz w:val="20"/>
                <w:szCs w:val="20"/>
                <w:color w:val="auto"/>
              </w:rPr>
            </w:pPr>
            <w:r>
              <w:rPr>
                <w:rFonts w:ascii="Arial" w:cs="Arial" w:eastAsia="Arial" w:hAnsi="Arial"/>
                <w:sz w:val="18"/>
                <w:szCs w:val="18"/>
                <w:color w:val="auto"/>
              </w:rPr>
              <w:t>Senior VP and Chief Innovation,</w:t>
            </w:r>
          </w:p>
        </w:tc>
      </w:tr>
      <w:tr>
        <w:trPr>
          <w:trHeight w:val="175"/>
        </w:trPr>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tcPr>
          <w:p>
            <w:pPr>
              <w:ind w:left="200"/>
              <w:spacing w:after="0" w:line="175" w:lineRule="exact"/>
              <w:rPr>
                <w:sz w:val="20"/>
                <w:szCs w:val="20"/>
                <w:color w:val="auto"/>
              </w:rPr>
            </w:pPr>
            <w:r>
              <w:rPr>
                <w:rFonts w:ascii="Arial" w:cs="Arial" w:eastAsia="Arial" w:hAnsi="Arial"/>
                <w:sz w:val="18"/>
                <w:szCs w:val="18"/>
                <w:color w:val="auto"/>
                <w:w w:val="98"/>
              </w:rPr>
              <w:t>Technology &amp; Product Management</w:t>
            </w:r>
          </w:p>
        </w:tc>
      </w:tr>
      <w:tr>
        <w:trPr>
          <w:trHeight w:val="216"/>
        </w:trPr>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Officer (2019)</w:t>
            </w:r>
          </w:p>
        </w:tc>
      </w:tr>
      <w:tr>
        <w:trPr>
          <w:trHeight w:val="389"/>
        </w:trPr>
        <w:tc>
          <w:tcPr>
            <w:tcW w:w="2040" w:type="dxa"/>
            <w:vAlign w:val="bottom"/>
          </w:tcPr>
          <w:p>
            <w:pPr>
              <w:spacing w:after="0"/>
              <w:rPr>
                <w:sz w:val="20"/>
                <w:szCs w:val="20"/>
                <w:color w:val="auto"/>
              </w:rPr>
            </w:pPr>
            <w:r>
              <w:rPr>
                <w:rFonts w:ascii="Arial" w:cs="Arial" w:eastAsia="Arial" w:hAnsi="Arial"/>
                <w:sz w:val="18"/>
                <w:szCs w:val="18"/>
                <w:color w:val="auto"/>
              </w:rPr>
              <w:t>Geri McShane</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3040" w:type="dxa"/>
            <w:vAlign w:val="bottom"/>
          </w:tcPr>
          <w:p>
            <w:pPr>
              <w:ind w:left="200"/>
              <w:spacing w:after="0"/>
              <w:rPr>
                <w:sz w:val="20"/>
                <w:szCs w:val="20"/>
                <w:color w:val="auto"/>
              </w:rPr>
            </w:pPr>
            <w:r>
              <w:rPr>
                <w:rFonts w:ascii="Arial" w:cs="Arial" w:eastAsia="Arial" w:hAnsi="Arial"/>
                <w:sz w:val="18"/>
                <w:szCs w:val="18"/>
                <w:color w:val="auto"/>
                <w:w w:val="97"/>
              </w:rPr>
              <w:t>VP, Controller and Chief Accounting</w:t>
            </w:r>
          </w:p>
        </w:tc>
      </w:tr>
      <w:tr>
        <w:trPr>
          <w:trHeight w:val="216"/>
        </w:trPr>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Officer (2019)</w:t>
            </w:r>
          </w:p>
        </w:tc>
      </w:tr>
      <w:tr>
        <w:trPr>
          <w:trHeight w:val="335"/>
        </w:trPr>
        <w:tc>
          <w:tcPr>
            <w:tcW w:w="2040" w:type="dxa"/>
            <w:vAlign w:val="bottom"/>
          </w:tcPr>
          <w:p>
            <w:pPr>
              <w:spacing w:after="0"/>
              <w:rPr>
                <w:sz w:val="20"/>
                <w:szCs w:val="20"/>
                <w:color w:val="auto"/>
              </w:rPr>
            </w:pPr>
            <w:r>
              <w:rPr>
                <w:rFonts w:ascii="Arial" w:cs="Arial" w:eastAsia="Arial" w:hAnsi="Arial"/>
                <w:sz w:val="18"/>
                <w:szCs w:val="18"/>
                <w:color w:val="auto"/>
              </w:rPr>
              <w:t>Matthew Pine</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040" w:type="dxa"/>
            <w:vAlign w:val="bottom"/>
          </w:tcPr>
          <w:p>
            <w:pPr>
              <w:ind w:left="200"/>
              <w:spacing w:after="0"/>
              <w:rPr>
                <w:sz w:val="20"/>
                <w:szCs w:val="20"/>
                <w:color w:val="auto"/>
              </w:rPr>
            </w:pPr>
            <w:r>
              <w:rPr>
                <w:rFonts w:ascii="Arial" w:cs="Arial" w:eastAsia="Arial" w:hAnsi="Arial"/>
                <w:sz w:val="18"/>
                <w:szCs w:val="18"/>
                <w:color w:val="auto"/>
              </w:rPr>
              <w:t>Senior VP and President, Applied</w:t>
            </w:r>
          </w:p>
        </w:tc>
      </w:tr>
      <w:tr>
        <w:trPr>
          <w:trHeight w:val="175"/>
        </w:trPr>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tcPr>
          <w:p>
            <w:pPr>
              <w:ind w:left="200"/>
              <w:spacing w:after="0" w:line="175" w:lineRule="exact"/>
              <w:rPr>
                <w:sz w:val="20"/>
                <w:szCs w:val="20"/>
                <w:color w:val="auto"/>
              </w:rPr>
            </w:pPr>
            <w:r>
              <w:rPr>
                <w:rFonts w:ascii="Arial" w:cs="Arial" w:eastAsia="Arial" w:hAnsi="Arial"/>
                <w:sz w:val="18"/>
                <w:szCs w:val="18"/>
                <w:color w:val="auto"/>
              </w:rPr>
              <w:t>Water Systems and Americas</w:t>
            </w:r>
          </w:p>
        </w:tc>
      </w:tr>
      <w:tr>
        <w:trPr>
          <w:trHeight w:val="216"/>
        </w:trPr>
        <w:tc>
          <w:tcPr>
            <w:tcW w:w="2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Arial" w:cs="Arial" w:eastAsia="Arial" w:hAnsi="Arial"/>
                <w:sz w:val="18"/>
                <w:szCs w:val="18"/>
                <w:color w:val="auto"/>
              </w:rPr>
              <w:t>Commercial Team (2020)</w:t>
            </w:r>
          </w:p>
        </w:tc>
      </w:tr>
    </w:tbl>
    <w:p>
      <w:pPr>
        <w:spacing w:after="0" w:line="20" w:lineRule="exact"/>
        <w:rPr>
          <w:sz w:val="20"/>
          <w:szCs w:val="20"/>
          <w:color w:val="auto"/>
        </w:rPr>
      </w:pPr>
      <w:r>
        <w:rPr>
          <w:sz w:val="20"/>
          <w:szCs w:val="20"/>
          <w:color w:val="auto"/>
        </w:rPr>
        <w:br w:type="column"/>
      </w:r>
    </w:p>
    <w:p>
      <w:pPr>
        <w:jc w:val="both"/>
        <w:ind w:left="169" w:right="200" w:hanging="169"/>
        <w:spacing w:after="0" w:line="218"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Vice President, Global General Counsel and Corporate Secretary, National Express Group (2015)</w:t>
      </w:r>
    </w:p>
    <w:p>
      <w:pPr>
        <w:spacing w:after="0" w:line="242" w:lineRule="exact"/>
        <w:rPr>
          <w:rFonts w:ascii="Arial" w:cs="Arial" w:eastAsia="Arial" w:hAnsi="Arial"/>
          <w:sz w:val="18"/>
          <w:szCs w:val="18"/>
          <w:color w:val="auto"/>
        </w:rPr>
      </w:pPr>
    </w:p>
    <w:p>
      <w:pPr>
        <w:ind w:left="169" w:right="20" w:hanging="169"/>
        <w:spacing w:after="0" w:line="244" w:lineRule="auto"/>
        <w:tabs>
          <w:tab w:leader="none" w:pos="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Executive Officer, Johnson Controls-Hitachi Air Conditioning (2015)</w:t>
      </w:r>
    </w:p>
    <w:p>
      <w:pPr>
        <w:spacing w:after="0" w:line="111" w:lineRule="exact"/>
        <w:rPr>
          <w:rFonts w:ascii="Arial" w:cs="Arial" w:eastAsia="Arial" w:hAnsi="Arial"/>
          <w:sz w:val="18"/>
          <w:szCs w:val="18"/>
          <w:color w:val="auto"/>
        </w:rPr>
      </w:pPr>
    </w:p>
    <w:p>
      <w:pPr>
        <w:ind w:left="109" w:hanging="109"/>
        <w:spacing w:after="0"/>
        <w:tabs>
          <w:tab w:leader="none" w:pos="1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VP and President, Dewatering</w:t>
      </w:r>
    </w:p>
    <w:p>
      <w:pPr>
        <w:ind w:left="149"/>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399" w:lineRule="exact"/>
        <w:rPr>
          <w:sz w:val="20"/>
          <w:szCs w:val="20"/>
          <w:color w:val="auto"/>
        </w:rPr>
      </w:pPr>
    </w:p>
    <w:p>
      <w:pPr>
        <w:ind w:left="109" w:hanging="109"/>
        <w:spacing w:after="0"/>
        <w:tabs>
          <w:tab w:leader="none" w:pos="1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Controller, Accounting and Reporting (2016)</w:t>
      </w:r>
    </w:p>
    <w:p>
      <w:pPr>
        <w:spacing w:after="0" w:line="236" w:lineRule="exact"/>
        <w:rPr>
          <w:rFonts w:ascii="Arial" w:cs="Arial" w:eastAsia="Arial" w:hAnsi="Arial"/>
          <w:sz w:val="18"/>
          <w:szCs w:val="18"/>
          <w:color w:val="auto"/>
        </w:rPr>
      </w:pPr>
    </w:p>
    <w:p>
      <w:pPr>
        <w:ind w:left="169" w:right="140" w:hanging="169"/>
        <w:spacing w:after="0" w:line="226" w:lineRule="auto"/>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President, Carrier Residential, United Technologies Corporation (2018)</w:t>
      </w:r>
    </w:p>
    <w:p>
      <w:pPr>
        <w:spacing w:after="0" w:line="67" w:lineRule="exact"/>
        <w:rPr>
          <w:rFonts w:ascii="Arial" w:cs="Arial" w:eastAsia="Arial" w:hAnsi="Arial"/>
          <w:sz w:val="18"/>
          <w:szCs w:val="18"/>
          <w:color w:val="auto"/>
        </w:rPr>
      </w:pPr>
    </w:p>
    <w:p>
      <w:pPr>
        <w:ind w:left="169" w:right="500" w:hanging="169"/>
        <w:spacing w:after="0" w:line="239" w:lineRule="auto"/>
        <w:tabs>
          <w:tab w:leader="none" w:pos="1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VP and General Manager, Carrier Residential, United Technologies Corporation (2017)</w:t>
      </w:r>
    </w:p>
    <w:p>
      <w:pPr>
        <w:spacing w:after="0" w:line="89" w:lineRule="exact"/>
        <w:rPr>
          <w:sz w:val="20"/>
          <w:szCs w:val="20"/>
          <w:color w:val="auto"/>
        </w:rPr>
      </w:pPr>
    </w:p>
    <w:p>
      <w:pPr>
        <w:sectPr>
          <w:pgSz w:w="11900" w:h="16838" w:orient="portrait"/>
          <w:cols w:equalWidth="0" w:num="2">
            <w:col w:w="6420" w:space="471"/>
            <w:col w:w="4309"/>
          </w:cols>
          <w:pgMar w:left="320" w:top="883" w:right="37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Colin R. Sabol</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3420" w:type="dxa"/>
            <w:vAlign w:val="bottom"/>
          </w:tcPr>
          <w:p>
            <w:pPr>
              <w:ind w:left="200"/>
              <w:spacing w:after="0"/>
              <w:rPr>
                <w:sz w:val="20"/>
                <w:szCs w:val="20"/>
                <w:color w:val="auto"/>
              </w:rPr>
            </w:pPr>
            <w:r>
              <w:rPr>
                <w:rFonts w:ascii="Arial" w:cs="Arial" w:eastAsia="Arial" w:hAnsi="Arial"/>
                <w:sz w:val="18"/>
                <w:szCs w:val="18"/>
                <w:color w:val="auto"/>
              </w:rPr>
              <w:t>Senior VP and President, Measurement</w:t>
            </w:r>
          </w:p>
        </w:tc>
        <w:tc>
          <w:tcPr>
            <w:tcW w:w="420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&amp; Control Solutions (2017)</w:t>
            </w:r>
          </w:p>
        </w:tc>
        <w:tc>
          <w:tcPr>
            <w:tcW w:w="4200" w:type="dxa"/>
            <w:vAlign w:val="bottom"/>
          </w:tcPr>
          <w:p>
            <w:pPr>
              <w:spacing w:after="0"/>
              <w:rPr>
                <w:sz w:val="18"/>
                <w:szCs w:val="18"/>
                <w:color w:val="auto"/>
              </w:rPr>
            </w:pPr>
          </w:p>
        </w:tc>
      </w:tr>
      <w:tr>
        <w:trPr>
          <w:trHeight w:val="294"/>
        </w:trPr>
        <w:tc>
          <w:tcPr>
            <w:tcW w:w="2220" w:type="dxa"/>
            <w:vAlign w:val="bottom"/>
          </w:tcPr>
          <w:p>
            <w:pPr>
              <w:spacing w:after="0"/>
              <w:rPr>
                <w:sz w:val="20"/>
                <w:szCs w:val="20"/>
                <w:color w:val="auto"/>
              </w:rPr>
            </w:pPr>
            <w:r>
              <w:rPr>
                <w:rFonts w:ascii="Arial" w:cs="Arial" w:eastAsia="Arial" w:hAnsi="Arial"/>
                <w:sz w:val="18"/>
                <w:szCs w:val="18"/>
                <w:color w:val="auto"/>
              </w:rPr>
              <w:t>Claudia S. Toussaint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3420" w:type="dxa"/>
            <w:vAlign w:val="bottom"/>
          </w:tcPr>
          <w:p>
            <w:pPr>
              <w:ind w:left="200"/>
              <w:spacing w:after="0"/>
              <w:rPr>
                <w:sz w:val="20"/>
                <w:szCs w:val="20"/>
                <w:color w:val="auto"/>
              </w:rPr>
            </w:pPr>
            <w:r>
              <w:rPr>
                <w:rFonts w:ascii="Arial" w:cs="Arial" w:eastAsia="Arial" w:hAnsi="Arial"/>
                <w:sz w:val="18"/>
                <w:szCs w:val="18"/>
                <w:color w:val="auto"/>
              </w:rPr>
              <w:t>Senior VP, Chief Human Resources</w:t>
            </w:r>
          </w:p>
        </w:tc>
        <w:tc>
          <w:tcPr>
            <w:tcW w:w="4200" w:type="dxa"/>
            <w:vAlign w:val="bottom"/>
          </w:tcPr>
          <w:p>
            <w:pPr>
              <w:ind w:left="100"/>
              <w:spacing w:after="0"/>
              <w:rPr>
                <w:sz w:val="20"/>
                <w:szCs w:val="20"/>
                <w:color w:val="auto"/>
              </w:rPr>
            </w:pPr>
            <w:r>
              <w:rPr>
                <w:rFonts w:ascii="Arial" w:cs="Arial" w:eastAsia="Arial" w:hAnsi="Arial"/>
                <w:sz w:val="18"/>
                <w:szCs w:val="18"/>
                <w:color w:val="auto"/>
              </w:rPr>
              <w:t>• Senior VP, General Counsel - (2014)</w:t>
            </w:r>
          </w:p>
        </w:tc>
      </w:t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and Sustainability Officer (2021)</w:t>
            </w:r>
          </w:p>
        </w:tc>
        <w:tc>
          <w:tcPr>
            <w:tcW w:w="4200" w:type="dxa"/>
            <w:vAlign w:val="bottom"/>
          </w:tcPr>
          <w:p>
            <w:pPr>
              <w:spacing w:after="0"/>
              <w:rPr>
                <w:sz w:val="18"/>
                <w:szCs w:val="18"/>
                <w:color w:val="auto"/>
              </w:rPr>
            </w:pPr>
          </w:p>
        </w:tc>
      </w:tr>
      <w:tr>
        <w:trPr>
          <w:trHeight w:val="294"/>
        </w:trPr>
        <w:tc>
          <w:tcPr>
            <w:tcW w:w="2220" w:type="dxa"/>
            <w:vAlign w:val="bottom"/>
          </w:tcPr>
          <w:p>
            <w:pPr>
              <w:spacing w:after="0"/>
              <w:rPr>
                <w:sz w:val="20"/>
                <w:szCs w:val="20"/>
                <w:color w:val="auto"/>
              </w:rPr>
            </w:pPr>
            <w:r>
              <w:rPr>
                <w:rFonts w:ascii="Arial" w:cs="Arial" w:eastAsia="Arial" w:hAnsi="Arial"/>
                <w:sz w:val="18"/>
                <w:szCs w:val="18"/>
                <w:color w:val="auto"/>
              </w:rPr>
              <w:t>Hayati Yarkadas</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3420" w:type="dxa"/>
            <w:vAlign w:val="bottom"/>
          </w:tcPr>
          <w:p>
            <w:pPr>
              <w:ind w:left="200"/>
              <w:spacing w:after="0"/>
              <w:rPr>
                <w:sz w:val="20"/>
                <w:szCs w:val="20"/>
                <w:color w:val="auto"/>
              </w:rPr>
            </w:pPr>
            <w:r>
              <w:rPr>
                <w:rFonts w:ascii="Arial" w:cs="Arial" w:eastAsia="Arial" w:hAnsi="Arial"/>
                <w:sz w:val="18"/>
                <w:szCs w:val="18"/>
                <w:color w:val="auto"/>
              </w:rPr>
              <w:t>Senior VP and President, Water</w:t>
            </w:r>
          </w:p>
        </w:tc>
        <w:tc>
          <w:tcPr>
            <w:tcW w:w="4200" w:type="dxa"/>
            <w:vAlign w:val="bottom"/>
          </w:tcPr>
          <w:p>
            <w:pPr>
              <w:ind w:left="100"/>
              <w:spacing w:after="0"/>
              <w:rPr>
                <w:sz w:val="20"/>
                <w:szCs w:val="20"/>
                <w:color w:val="auto"/>
              </w:rPr>
            </w:pPr>
            <w:r>
              <w:rPr>
                <w:rFonts w:ascii="Arial" w:cs="Arial" w:eastAsia="Arial" w:hAnsi="Arial"/>
                <w:sz w:val="18"/>
                <w:szCs w:val="18"/>
                <w:color w:val="auto"/>
                <w:w w:val="98"/>
              </w:rPr>
              <w:t>• Senior Vice President and President, Performance</w:t>
            </w:r>
          </w:p>
        </w:tc>
      </w:tr>
      <w:tr>
        <w:trPr>
          <w:trHeight w:val="175"/>
        </w:trPr>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20" w:type="dxa"/>
            <w:vAlign w:val="bottom"/>
          </w:tcPr>
          <w:p>
            <w:pPr>
              <w:ind w:left="200"/>
              <w:spacing w:after="0" w:line="175" w:lineRule="exact"/>
              <w:rPr>
                <w:sz w:val="20"/>
                <w:szCs w:val="20"/>
                <w:color w:val="auto"/>
              </w:rPr>
            </w:pPr>
            <w:r>
              <w:rPr>
                <w:rFonts w:ascii="Arial" w:cs="Arial" w:eastAsia="Arial" w:hAnsi="Arial"/>
                <w:sz w:val="18"/>
                <w:szCs w:val="18"/>
                <w:color w:val="auto"/>
              </w:rPr>
              <w:t>Infrastructure and Europe Commercial</w:t>
            </w:r>
          </w:p>
        </w:tc>
        <w:tc>
          <w:tcPr>
            <w:tcW w:w="4200" w:type="dxa"/>
            <w:vAlign w:val="bottom"/>
          </w:tcPr>
          <w:p>
            <w:pPr>
              <w:ind w:left="260"/>
              <w:spacing w:after="0" w:line="175" w:lineRule="exact"/>
              <w:rPr>
                <w:sz w:val="20"/>
                <w:szCs w:val="20"/>
                <w:color w:val="auto"/>
              </w:rPr>
            </w:pPr>
            <w:r>
              <w:rPr>
                <w:rFonts w:ascii="Arial" w:cs="Arial" w:eastAsia="Arial" w:hAnsi="Arial"/>
                <w:sz w:val="18"/>
                <w:szCs w:val="18"/>
                <w:color w:val="auto"/>
              </w:rPr>
              <w:t>Materials, Trinseo S.A. (2015)</w:t>
            </w:r>
          </w:p>
        </w:tc>
      </w:t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Team (2020)</w:t>
            </w:r>
          </w:p>
        </w:tc>
        <w:tc>
          <w:tcPr>
            <w:tcW w:w="4200" w:type="dxa"/>
            <w:vAlign w:val="bottom"/>
          </w:tcPr>
          <w:p>
            <w:pPr>
              <w:spacing w:after="0"/>
              <w:rPr>
                <w:sz w:val="18"/>
                <w:szCs w:val="18"/>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Note: Date in parentheses indicates the year in which the position was assumed.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3, 2022: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7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r>
      <w:tr>
        <w:trPr>
          <w:trHeight w:val="22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Robert F. Friel</w:t>
            </w:r>
          </w:p>
        </w:tc>
        <w:tc>
          <w:tcPr>
            <w:tcW w:w="7460" w:type="dxa"/>
            <w:vAlign w:val="bottom"/>
          </w:tcPr>
          <w:p>
            <w:pPr>
              <w:ind w:left="20"/>
              <w:spacing w:after="0"/>
              <w:rPr>
                <w:sz w:val="20"/>
                <w:szCs w:val="20"/>
                <w:color w:val="auto"/>
              </w:rPr>
            </w:pPr>
            <w:r>
              <w:rPr>
                <w:rFonts w:ascii="Arial" w:cs="Arial" w:eastAsia="Arial" w:hAnsi="Arial"/>
                <w:sz w:val="18"/>
                <w:szCs w:val="18"/>
                <w:color w:val="auto"/>
              </w:rPr>
              <w:t>Board Chair, Xylem Inc., Former Chairman, President and CEO, PerkinElmer, Inc.</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Jeanne Beliveau-Dunn</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and President of Claridad, LLC</w:t>
            </w:r>
          </w:p>
        </w:tc>
      </w:tr>
      <w:tr>
        <w:trPr>
          <w:trHeight w:val="40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Patrick K. Decker</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Jorge M. Gomez</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Dentsply Sirona, Inc.</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TEGNA, Inc.</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Steven R. Loranger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ITT Corporation</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 D. Morelli</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Vontier Corporation</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Surya N. Mohapatra, Ph.D.</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Quest Diagnostics Incorporated</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Markos I. Tambakeras</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Chairman, President and Chief Executive Officer, Kennametal, Inc.</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Corporate Vice President &amp; Deputy Chief Technology Officer, Microsoft Corporation</w:t>
            </w:r>
          </w:p>
        </w:tc>
      </w:tr>
      <w:tr>
        <w:trPr>
          <w:trHeight w:val="39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Operating Officer, Electrical Sector, Eaton Corporation PLC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69"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2022, there were 8,875 holders of record of our common stock.</w:t>
      </w:r>
    </w:p>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Dividends are declared and paid on the common stock at the discretion of our Board of Directors and depend on our profitability, financial condition, capital needs, future prospects and other factors deemed relevant by our Board. Therefore, there can be no assurance as to what level of dividends, if any, will be paid in the future. In the first quarter of 2022, we declared a dividend of $0.30 per share to be paid on March 17, 2022 for shareholders of record on February 17, 2022.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2021 Share Repurchase Activity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purchases of our common stock for the quarter ended December 31, 2021:</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60" w:type="dxa"/>
            <w:vAlign w:val="bottom"/>
          </w:tcPr>
          <w:p>
            <w:pPr>
              <w:spacing w:after="0"/>
              <w:rPr>
                <w:sz w:val="11"/>
                <w:szCs w:val="11"/>
                <w:color w:val="auto"/>
              </w:rPr>
            </w:pPr>
          </w:p>
        </w:tc>
        <w:tc>
          <w:tcPr>
            <w:tcW w:w="192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Average Price Paid per Share</w:t>
            </w: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 Publicly</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34"/>
        </w:trPr>
        <w:tc>
          <w:tcPr>
            <w:tcW w:w="25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Period</w:t>
            </w:r>
          </w:p>
        </w:tc>
        <w:tc>
          <w:tcPr>
            <w:tcW w:w="1920" w:type="dxa"/>
            <w:vAlign w:val="bottom"/>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2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 Programs</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Under the Plans</w:t>
            </w:r>
          </w:p>
        </w:tc>
        <w:tc>
          <w:tcPr>
            <w:tcW w:w="0" w:type="dxa"/>
            <w:vAlign w:val="bottom"/>
          </w:tcPr>
          <w:p>
            <w:pPr>
              <w:spacing w:after="0"/>
              <w:rPr>
                <w:sz w:val="1"/>
                <w:szCs w:val="1"/>
                <w:color w:val="auto"/>
              </w:rPr>
            </w:pPr>
          </w:p>
        </w:tc>
      </w:tr>
      <w:tr>
        <w:trPr>
          <w:trHeight w:val="175"/>
        </w:trPr>
        <w:tc>
          <w:tcPr>
            <w:tcW w:w="256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Purchased</w:t>
            </w:r>
          </w:p>
        </w:tc>
        <w:tc>
          <w:tcPr>
            <w:tcW w:w="23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(a)</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 (b)</w:t>
            </w:r>
          </w:p>
        </w:tc>
        <w:tc>
          <w:tcPr>
            <w:tcW w:w="0" w:type="dxa"/>
            <w:vAlign w:val="bottom"/>
          </w:tcPr>
          <w:p>
            <w:pPr>
              <w:spacing w:after="0"/>
              <w:rPr>
                <w:sz w:val="1"/>
                <w:szCs w:val="1"/>
                <w:color w:val="auto"/>
              </w:rPr>
            </w:pPr>
          </w:p>
        </w:tc>
      </w:tr>
      <w:tr>
        <w:trPr>
          <w:trHeight w:val="222"/>
        </w:trPr>
        <w:tc>
          <w:tcPr>
            <w:tcW w:w="2560" w:type="dxa"/>
            <w:vAlign w:val="bottom"/>
            <w:shd w:val="clear" w:color="auto" w:fill="CCEEFF"/>
          </w:tcPr>
          <w:p>
            <w:pPr>
              <w:jc w:val="center"/>
              <w:ind w:right="178"/>
              <w:spacing w:after="0"/>
              <w:rPr>
                <w:sz w:val="20"/>
                <w:szCs w:val="20"/>
                <w:color w:val="auto"/>
              </w:rPr>
            </w:pPr>
            <w:r>
              <w:rPr>
                <w:rFonts w:ascii="Arial" w:cs="Arial" w:eastAsia="Arial" w:hAnsi="Arial"/>
                <w:sz w:val="18"/>
                <w:szCs w:val="18"/>
                <w:color w:val="auto"/>
                <w:w w:val="99"/>
              </w:rPr>
              <w:t>10/1/21 - 10/31/21</w:t>
            </w:r>
          </w:p>
        </w:tc>
        <w:tc>
          <w:tcPr>
            <w:tcW w:w="1920" w:type="dxa"/>
            <w:vAlign w:val="bottom"/>
            <w:shd w:val="clear" w:color="auto" w:fill="CCEEFF"/>
          </w:tcPr>
          <w:p>
            <w:pPr>
              <w:jc w:val="center"/>
              <w:ind w:right="18"/>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$228</w:t>
            </w:r>
          </w:p>
        </w:tc>
        <w:tc>
          <w:tcPr>
            <w:tcW w:w="0" w:type="dxa"/>
            <w:vAlign w:val="bottom"/>
          </w:tcPr>
          <w:p>
            <w:pPr>
              <w:spacing w:after="0"/>
              <w:rPr>
                <w:sz w:val="1"/>
                <w:szCs w:val="1"/>
                <w:color w:val="auto"/>
              </w:rPr>
            </w:pPr>
          </w:p>
        </w:tc>
      </w:tr>
      <w:tr>
        <w:trPr>
          <w:trHeight w:val="228"/>
        </w:trPr>
        <w:tc>
          <w:tcPr>
            <w:tcW w:w="2560" w:type="dxa"/>
            <w:vAlign w:val="bottom"/>
          </w:tcPr>
          <w:p>
            <w:pPr>
              <w:jc w:val="center"/>
              <w:ind w:right="178"/>
              <w:spacing w:after="0"/>
              <w:rPr>
                <w:sz w:val="20"/>
                <w:szCs w:val="20"/>
                <w:color w:val="auto"/>
              </w:rPr>
            </w:pPr>
            <w:r>
              <w:rPr>
                <w:rFonts w:ascii="Arial" w:cs="Arial" w:eastAsia="Arial" w:hAnsi="Arial"/>
                <w:sz w:val="18"/>
                <w:szCs w:val="18"/>
                <w:color w:val="auto"/>
                <w:w w:val="99"/>
              </w:rPr>
              <w:t>11/1/21 - 11/30/21</w:t>
            </w:r>
          </w:p>
        </w:tc>
        <w:tc>
          <w:tcPr>
            <w:tcW w:w="1920" w:type="dxa"/>
            <w:vAlign w:val="bottom"/>
          </w:tcPr>
          <w:p>
            <w:pPr>
              <w:jc w:val="center"/>
              <w:ind w:right="18"/>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left="38"/>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$228</w:t>
            </w:r>
          </w:p>
        </w:tc>
        <w:tc>
          <w:tcPr>
            <w:tcW w:w="0" w:type="dxa"/>
            <w:vAlign w:val="bottom"/>
          </w:tcPr>
          <w:p>
            <w:pPr>
              <w:spacing w:after="0"/>
              <w:rPr>
                <w:sz w:val="1"/>
                <w:szCs w:val="1"/>
                <w:color w:val="auto"/>
              </w:rPr>
            </w:pPr>
          </w:p>
        </w:tc>
      </w:tr>
      <w:tr>
        <w:trPr>
          <w:trHeight w:val="228"/>
        </w:trPr>
        <w:tc>
          <w:tcPr>
            <w:tcW w:w="2560" w:type="dxa"/>
            <w:vAlign w:val="bottom"/>
            <w:tcBorders>
              <w:bottom w:val="single" w:sz="8" w:color="auto"/>
            </w:tcBorders>
            <w:shd w:val="clear" w:color="auto" w:fill="CCEEFF"/>
          </w:tcPr>
          <w:p>
            <w:pPr>
              <w:jc w:val="center"/>
              <w:ind w:right="178"/>
              <w:spacing w:after="0"/>
              <w:rPr>
                <w:sz w:val="20"/>
                <w:szCs w:val="20"/>
                <w:color w:val="auto"/>
              </w:rPr>
            </w:pPr>
            <w:r>
              <w:rPr>
                <w:rFonts w:ascii="Arial" w:cs="Arial" w:eastAsia="Arial" w:hAnsi="Arial"/>
                <w:sz w:val="18"/>
                <w:szCs w:val="18"/>
                <w:color w:val="auto"/>
                <w:w w:val="99"/>
              </w:rPr>
              <w:t>12/1/21 - 12/31/21</w:t>
            </w:r>
          </w:p>
        </w:tc>
        <w:tc>
          <w:tcPr>
            <w:tcW w:w="1920" w:type="dxa"/>
            <w:vAlign w:val="bottom"/>
            <w:tcBorders>
              <w:bottom w:val="single" w:sz="8" w:color="auto"/>
            </w:tcBorders>
            <w:shd w:val="clear" w:color="auto" w:fill="CCEEFF"/>
          </w:tcPr>
          <w:p>
            <w:pPr>
              <w:jc w:val="center"/>
              <w:ind w:right="18"/>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Average price paid per share is calculated on a settlement basis.</w:t>
      </w:r>
    </w:p>
    <w:p>
      <w:pPr>
        <w:spacing w:after="0" w:line="163" w:lineRule="exact"/>
        <w:rPr>
          <w:rFonts w:ascii="Arial" w:cs="Arial" w:eastAsia="Arial" w:hAnsi="Arial"/>
          <w:sz w:val="15"/>
          <w:szCs w:val="15"/>
          <w:color w:val="auto"/>
        </w:rPr>
      </w:pPr>
    </w:p>
    <w:p>
      <w:pPr>
        <w:ind w:left="660" w:right="180" w:hanging="330"/>
        <w:spacing w:after="0" w:line="247" w:lineRule="auto"/>
        <w:tabs>
          <w:tab w:leader="none" w:pos="658"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2021. There are up to $228 million in shares that may still be purchased under this plan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TOTAL RETURN</w:t>
      </w:r>
    </w:p>
    <w:p>
      <w:pPr>
        <w:spacing w:after="0" w:line="19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2016 through December 31, 2021 and assumes that $100 was invested on December 31, 2016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95250</wp:posOffset>
            </wp:positionV>
            <wp:extent cx="5836285" cy="2465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6285"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S&amp;P 500</w:t>
            </w:r>
          </w:p>
        </w:tc>
        <w:tc>
          <w:tcPr>
            <w:tcW w:w="0" w:type="dxa"/>
            <w:vAlign w:val="bottom"/>
          </w:tcPr>
          <w:p>
            <w:pPr>
              <w:spacing w:after="0"/>
              <w:rPr>
                <w:sz w:val="1"/>
                <w:szCs w:val="1"/>
                <w:color w:val="auto"/>
              </w:rPr>
            </w:pPr>
          </w:p>
        </w:tc>
      </w:tr>
      <w:tr>
        <w:trPr>
          <w:trHeight w:val="134"/>
        </w:trPr>
        <w:tc>
          <w:tcPr>
            <w:tcW w:w="7140" w:type="dxa"/>
            <w:vAlign w:val="bottom"/>
            <w:vMerge w:val="restart"/>
          </w:tcPr>
          <w:p>
            <w:pPr>
              <w:ind w:left="6700"/>
              <w:spacing w:after="0"/>
              <w:rPr>
                <w:sz w:val="20"/>
                <w:szCs w:val="20"/>
                <w:color w:val="auto"/>
              </w:rPr>
            </w:pPr>
            <w:r>
              <w:rPr>
                <w:rFonts w:ascii="Arial" w:cs="Arial" w:eastAsia="Arial" w:hAnsi="Arial"/>
                <w:sz w:val="14"/>
                <w:szCs w:val="14"/>
                <w:b w:val="1"/>
                <w:bCs w:val="1"/>
                <w:color w:val="auto"/>
              </w:rPr>
              <w:t>XYL</w:t>
            </w:r>
          </w:p>
        </w:tc>
        <w:tc>
          <w:tcPr>
            <w:tcW w:w="800" w:type="dxa"/>
            <w:vAlign w:val="bottom"/>
          </w:tcPr>
          <w:p>
            <w:pPr>
              <w:spacing w:after="0"/>
              <w:rPr>
                <w:sz w:val="11"/>
                <w:szCs w:val="11"/>
                <w:color w:val="auto"/>
              </w:rPr>
            </w:pPr>
          </w:p>
        </w:tc>
        <w:tc>
          <w:tcPr>
            <w:tcW w:w="172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75"/>
        </w:trPr>
        <w:tc>
          <w:tcPr>
            <w:tcW w:w="71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8"/>
                <w:szCs w:val="18"/>
                <w:color w:val="auto"/>
              </w:rPr>
              <w:t>December 31, 2017</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140</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122</w:t>
            </w:r>
          </w:p>
        </w:tc>
        <w:tc>
          <w:tcPr>
            <w:tcW w:w="15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138</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116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8"/>
                <w:szCs w:val="18"/>
                <w:color w:val="auto"/>
              </w:rPr>
              <w:t>December 31, 2019</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165</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153</w:t>
            </w: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8"/>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216</w:t>
            </w:r>
          </w:p>
        </w:tc>
        <w:tc>
          <w:tcPr>
            <w:tcW w:w="1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181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December 31, 2021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257</w:t>
            </w:r>
          </w:p>
        </w:tc>
        <w:tc>
          <w:tcPr>
            <w:tcW w:w="1720" w:type="dxa"/>
            <w:vAlign w:val="bottom"/>
          </w:tcPr>
          <w:p>
            <w:pPr>
              <w:jc w:val="right"/>
              <w:ind w:right="233"/>
              <w:spacing w:after="0"/>
              <w:rPr>
                <w:sz w:val="20"/>
                <w:szCs w:val="20"/>
                <w:color w:val="auto"/>
              </w:rPr>
            </w:pPr>
            <w:r>
              <w:rPr>
                <w:rFonts w:ascii="Arial" w:cs="Arial" w:eastAsia="Arial" w:hAnsi="Arial"/>
                <w:sz w:val="18"/>
                <w:szCs w:val="18"/>
                <w:color w:val="auto"/>
              </w:rPr>
              <w:t>233</w:t>
            </w:r>
          </w:p>
        </w:tc>
        <w:tc>
          <w:tcPr>
            <w:tcW w:w="15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 Reserved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20"/>
        <w:spacing w:after="0" w:line="287"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This section of this Form 10-K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Part II, Item 7 of the Company’s Annual Report on Form 10-K for the fiscal year ended December 31,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67" w:lineRule="exact"/>
        <w:rPr>
          <w:sz w:val="20"/>
          <w:szCs w:val="20"/>
          <w:color w:val="auto"/>
        </w:rPr>
      </w:pPr>
    </w:p>
    <w:p>
      <w:pPr>
        <w:ind w:left="660" w:right="40" w:hanging="330"/>
        <w:spacing w:after="0" w:line="23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Water Infrastructure </w:t>
      </w:r>
      <w:r>
        <w:rPr>
          <w:rFonts w:ascii="Arial" w:cs="Arial" w:eastAsia="Arial" w:hAnsi="Arial"/>
          <w:sz w:val="17"/>
          <w:szCs w:val="17"/>
          <w:color w:val="auto"/>
        </w:rPr>
        <w:t>serves the water infrastructure sector with pump systems that transport water from aquifers, lakes, rivers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5" w:lineRule="exact"/>
        <w:rPr>
          <w:rFonts w:ascii="Arial" w:cs="Arial" w:eastAsia="Arial" w:hAnsi="Arial"/>
          <w:sz w:val="17"/>
          <w:szCs w:val="17"/>
          <w:color w:val="auto"/>
        </w:rPr>
      </w:pPr>
    </w:p>
    <w:p>
      <w:pPr>
        <w:ind w:left="660" w:right="20" w:hanging="330"/>
        <w:spacing w:after="0" w:line="25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7" w:lineRule="exact"/>
        <w:rPr>
          <w:rFonts w:ascii="Arial" w:cs="Arial" w:eastAsia="Arial" w:hAnsi="Arial"/>
          <w:sz w:val="18"/>
          <w:szCs w:val="18"/>
          <w:color w:val="auto"/>
        </w:rPr>
      </w:pPr>
    </w:p>
    <w:p>
      <w:pPr>
        <w:ind w:left="660" w:hanging="330"/>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990"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COVID-19 Pandemic Update</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global spread of COVID-19 has curtailed the movement of people, goods and services worldwide, including in many of the regions where we sell our products and services and conduct operations.</w:t>
      </w:r>
    </w:p>
    <w:p>
      <w:pPr>
        <w:spacing w:after="0" w:line="9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This section summarizes the most significant impacts related to the COVID-19 pandemic that we have experienced to date, and we have included additional details as applicable throughout other sections of this Annual Report. Xylem’s COVID-19 Response Team is responsible for Xylem's Pandemic Plan. The Pandemic Plan is designed to aid in prevention, preparedness, response and recovery at our sites and across the Company.</w:t>
      </w:r>
    </w:p>
    <w:p>
      <w:pPr>
        <w:spacing w:after="0" w:line="98"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Given the magnitude and duration of the COVID -19 pandemic and its economic consequences, it has become more difficult to distinguish specific aspects of our operational and financial performance that are most directly related to the pandemic from those more broadly influenced by ongoing macroeconomic, market and industry dynamics that may be, to varying degrees, related to the pandemic and its consequences.</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Public health officials have recommended, or governments have mandated, precautions to mitigate the spread of COVID-19, including travel restrictions, quarantine guidelines, or similar measures in many of the areas in which we operate. As a result, a number of our production facilities across the globe experienced reduced production levels due to such measures to varying degrees during the year, however our current overall operating capacity approximates normal levels globally. In order to maintain a safe work environment, our production facilities continue to spread operations over multiple shifts and implement other protective measures such as testing, temperature screening and social distancing, while maintaining operational capabilities.</w:t>
      </w:r>
    </w:p>
    <w:p>
      <w:pPr>
        <w:spacing w:after="0" w:line="9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COVID-19 pandemic, as well as broader global market supply and demand dynamics, have adversely affected, and are expected to continue to adversely affect, our supply chains. We have experienced, and expect to continue experiencing shortages in the supply of components, including electronics, particularly semiconductors ("chips"), parts and raw materials. We have also experienced, and continue to experience, increased inflation, freight and logistics costs, issues with port congestion, delivery delays and labor. To help mitigate the effects of these challenges and increase the resilience of our supply chain, we continue to enhance and augment our risk management activities, including supplier pulsing and redundancy. Additionally, we have and continue to take measures with respect to buffer stock, the use of alternative suppliers or redesign of certain products to mitigate the impacts of the ongoing supply chain, freight and logistics delays and bolster our access to electronics, parts and raw materials. To some extent, we have been able to pass cost increases through to customers. If these shortages and interruptions continue, or if additional interruptions occur, they could have a negative impact on our results of operations.</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supply chain issues have also impacted our delivery times to customers. To some extent, mitigation strategies have alleviated these issues but our lead times continue to be impacted.</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seen a recovery in demand for our products. At the end of 2021, total backlog increased 52.6% as compared to December 31, 2020. The severity, magnitude and duration of the COVID-19 pandemic and its economic consequences are uncertain, and the pandemic’s ongoing and future impacts on our business, financial condition, results of operations, and stock price remain uncertain and difficult to predict.</w:t>
      </w:r>
    </w:p>
    <w:p>
      <w:pPr>
        <w:spacing w:after="0" w:line="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management committed to restructuring activities across our businesses and functions globally during the second quarter of 2020. These initiatives were designed to support our long-term financial resilience and simplify our operations, strengthen our competitive positioning and better serve our customers. Since the pandemic started, Xylem has taken measures to protect the health and safety of our employees, work with our customers to minimize potential disruptions and positively impact our communities. In the first quarter of 2020, we implemented a support pay program for employees impacted by COVID-19, which is in place through the second quarter of 2022 and will be evaluated for continuation, as necessary.</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Xylem Watermark, our corporate social responsibility program, continues to support our communities in addressing the challenges posed by this global pandemic by strengthening access to Water, Sanitation and Hygiene (WASH) facilities in schools and health centers through its partnership with Americares and UNICEF, as well as the Partner Community Grants program and matching donations program for employees and partners, and other philanthropic commitments.</w:t>
      </w:r>
    </w:p>
    <w:p>
      <w:pPr>
        <w:spacing w:after="0" w:line="9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Many of our offices globally remain in a substantially remote work from home status, with no material disruption to operations, financial reporting systems, internal control over financial reporting or disclosure controls and procedures. Our COVID-19 Response Team applies a set of health and safety guidelines for employees working in Xylem offices.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8"/>
          <w:szCs w:val="18"/>
          <w:color w:val="auto"/>
        </w:rPr>
        <w:t>We continue to assess the evolving nature of the pandemic and its possible implications to our business, employees, supply chain, customers and communities, and to take actions in an effort to mitigate adverse consequences.</w:t>
      </w:r>
    </w:p>
    <w:p>
      <w:pPr>
        <w:spacing w:after="0" w:line="9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Risks related to the impacts of COVID-19 as well as our supply chain are described in further detail under "Item 1A. Risk Factors" in the Company's 2021 Annual Report.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99" w:lineRule="exact"/>
        <w:rPr>
          <w:sz w:val="20"/>
          <w:szCs w:val="20"/>
          <w:color w:val="auto"/>
        </w:rPr>
      </w:pPr>
    </w:p>
    <w:p>
      <w:pPr>
        <w:ind w:left="660" w:right="60" w:hanging="330"/>
        <w:spacing w:after="0" w:line="25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100" w:lineRule="exact"/>
        <w:rPr>
          <w:rFonts w:ascii="Arial" w:cs="Arial" w:eastAsia="Arial" w:hAnsi="Arial"/>
          <w:sz w:val="18"/>
          <w:szCs w:val="18"/>
          <w:color w:val="auto"/>
        </w:rPr>
      </w:pPr>
    </w:p>
    <w:p>
      <w:pPr>
        <w:ind w:left="660" w:right="20" w:hanging="330"/>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5" w:lineRule="exact"/>
        <w:rPr>
          <w:rFonts w:ascii="Arial" w:cs="Arial" w:eastAsia="Arial" w:hAnsi="Arial"/>
          <w:sz w:val="18"/>
          <w:szCs w:val="18"/>
          <w:color w:val="auto"/>
        </w:rPr>
      </w:pPr>
    </w:p>
    <w:p>
      <w:pPr>
        <w:ind w:left="660" w:right="220" w:hanging="330"/>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6"/>
                <w:szCs w:val="16"/>
                <w:color w:val="auto"/>
              </w:rPr>
            </w:pPr>
          </w:p>
        </w:tc>
      </w:tr>
      <w:tr>
        <w:trPr>
          <w:trHeight w:val="222"/>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8"/>
        </w:trPr>
        <w:tc>
          <w:tcPr>
            <w:tcW w:w="5660" w:type="dxa"/>
            <w:vAlign w:val="bottom"/>
          </w:tcPr>
          <w:p>
            <w:pPr>
              <w:ind w:left="140"/>
              <w:spacing w:after="0"/>
              <w:rPr>
                <w:sz w:val="20"/>
                <w:szCs w:val="20"/>
                <w:color w:val="auto"/>
              </w:rPr>
            </w:pPr>
            <w:r>
              <w:rPr>
                <w:rFonts w:ascii="Arial" w:cs="Arial" w:eastAsia="Arial" w:hAnsi="Arial"/>
                <w:sz w:val="18"/>
                <w:szCs w:val="18"/>
                <w:color w:val="auto"/>
              </w:rPr>
              <w:t>Restructuring and realignment, net of tax of $5 and $17</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28"/>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 net of tax of $2 and $10</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28"/>
        </w:trPr>
        <w:tc>
          <w:tcPr>
            <w:tcW w:w="5660" w:type="dxa"/>
            <w:vAlign w:val="bottom"/>
          </w:tcPr>
          <w:p>
            <w:pPr>
              <w:ind w:left="140"/>
              <w:spacing w:after="0"/>
              <w:rPr>
                <w:sz w:val="20"/>
                <w:szCs w:val="20"/>
                <w:color w:val="auto"/>
              </w:rPr>
            </w:pPr>
            <w:r>
              <w:rPr>
                <w:rFonts w:ascii="Arial" w:cs="Arial" w:eastAsia="Arial" w:hAnsi="Arial"/>
                <w:sz w:val="18"/>
                <w:szCs w:val="18"/>
                <w:color w:val="auto"/>
              </w:rPr>
              <w:t>Tax-related special items</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8"/>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 net of tax benefit of $0</w:t>
            </w: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660" w:type="dxa"/>
            <w:vAlign w:val="bottom"/>
          </w:tcPr>
          <w:p>
            <w:pPr>
              <w:ind w:left="34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580" w:right="340" w:hanging="331"/>
        <w:spacing w:after="0" w:line="259"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restructuring and realignment costs and special charges.</w:t>
      </w:r>
    </w:p>
    <w:p>
      <w:pPr>
        <w:spacing w:after="0" w:line="90" w:lineRule="exact"/>
        <w:rPr>
          <w:rFonts w:ascii="Arial" w:cs="Arial" w:eastAsia="Arial" w:hAnsi="Arial"/>
          <w:sz w:val="18"/>
          <w:szCs w:val="18"/>
          <w:color w:val="auto"/>
        </w:rPr>
      </w:pPr>
    </w:p>
    <w:p>
      <w:pPr>
        <w:ind w:left="580" w:right="700" w:hanging="331"/>
        <w:spacing w:after="0" w:line="259"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90" w:lineRule="exact"/>
        <w:rPr>
          <w:rFonts w:ascii="Arial" w:cs="Arial" w:eastAsia="Arial" w:hAnsi="Arial"/>
          <w:sz w:val="18"/>
          <w:szCs w:val="18"/>
          <w:color w:val="auto"/>
        </w:rPr>
      </w:pPr>
    </w:p>
    <w:p>
      <w:pPr>
        <w:ind w:left="580" w:right="360" w:hanging="331"/>
        <w:spacing w:after="0" w:line="254" w:lineRule="auto"/>
        <w:tabs>
          <w:tab w:leader="none" w:pos="5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6" w:name="page37"/>
    <w:bookmarkEnd w:id="36"/>
    <w:p>
      <w:pPr>
        <w:ind w:left="580"/>
        <w:spacing w:after="0"/>
        <w:rPr>
          <w:sz w:val="20"/>
          <w:szCs w:val="20"/>
          <w:color w:val="auto"/>
        </w:rPr>
      </w:pPr>
      <w:r>
        <w:rPr>
          <w:rFonts w:ascii="Arial" w:cs="Arial" w:eastAsia="Arial" w:hAnsi="Arial"/>
          <w:sz w:val="18"/>
          <w:szCs w:val="18"/>
          <w:color w:val="auto"/>
        </w:rPr>
        <w:t>gain or loss from sale of businesses, and "adjusted EBITDA margin" defined as adjusted EBITDA divided by total revenue.</w:t>
      </w:r>
    </w:p>
    <w:p>
      <w:pPr>
        <w:spacing w:after="0" w:line="115" w:lineRule="exact"/>
        <w:rPr>
          <w:sz w:val="20"/>
          <w:szCs w:val="20"/>
          <w:color w:val="auto"/>
        </w:rPr>
      </w:pPr>
    </w:p>
    <w:p>
      <w:pPr>
        <w:ind w:left="580" w:right="480" w:hanging="331"/>
        <w:spacing w:after="0" w:line="259" w:lineRule="auto"/>
        <w:tabs>
          <w:tab w:leader="none" w:pos="576"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90" w:lineRule="exact"/>
        <w:rPr>
          <w:rFonts w:ascii="Arial" w:cs="Arial" w:eastAsia="Arial" w:hAnsi="Arial"/>
          <w:sz w:val="18"/>
          <w:szCs w:val="18"/>
          <w:b w:val="1"/>
          <w:bCs w:val="1"/>
          <w:color w:val="auto"/>
        </w:rPr>
      </w:pPr>
    </w:p>
    <w:p>
      <w:pPr>
        <w:ind w:left="580" w:right="220" w:hanging="331"/>
        <w:spacing w:after="0" w:line="259"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90" w:lineRule="exact"/>
        <w:rPr>
          <w:rFonts w:ascii="Arial" w:cs="Arial" w:eastAsia="Arial" w:hAnsi="Arial"/>
          <w:sz w:val="18"/>
          <w:szCs w:val="18"/>
          <w:color w:val="auto"/>
        </w:rPr>
      </w:pPr>
    </w:p>
    <w:p>
      <w:pPr>
        <w:ind w:left="580" w:hanging="331"/>
        <w:spacing w:after="0" w:line="259"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90" w:lineRule="exact"/>
        <w:rPr>
          <w:rFonts w:ascii="Arial" w:cs="Arial" w:eastAsia="Arial" w:hAnsi="Arial"/>
          <w:sz w:val="18"/>
          <w:szCs w:val="18"/>
          <w:color w:val="auto"/>
        </w:rPr>
      </w:pPr>
    </w:p>
    <w:p>
      <w:pPr>
        <w:ind w:left="580" w:right="220" w:hanging="331"/>
        <w:spacing w:after="0" w:line="254" w:lineRule="auto"/>
        <w:tabs>
          <w:tab w:leader="none" w:pos="5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746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color w:val="auto"/>
              </w:rPr>
              <w:t>2020</w:t>
            </w:r>
          </w:p>
        </w:tc>
      </w:tr>
      <w:tr>
        <w:trPr>
          <w:trHeight w:val="222"/>
        </w:trPr>
        <w:tc>
          <w:tcPr>
            <w:tcW w:w="746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33"/>
              <w:spacing w:after="0"/>
              <w:rPr>
                <w:sz w:val="20"/>
                <w:szCs w:val="20"/>
                <w:color w:val="auto"/>
              </w:rPr>
            </w:pPr>
            <w:r>
              <w:rPr>
                <w:rFonts w:ascii="Arial" w:cs="Arial" w:eastAsia="Arial" w:hAnsi="Arial"/>
                <w:sz w:val="18"/>
                <w:szCs w:val="18"/>
                <w:b w:val="1"/>
                <w:bCs w:val="1"/>
                <w:color w:val="auto"/>
                <w:w w:val="93"/>
              </w:rPr>
              <w:t>538</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53"/>
              <w:spacing w:after="0"/>
              <w:rPr>
                <w:sz w:val="20"/>
                <w:szCs w:val="20"/>
                <w:color w:val="auto"/>
              </w:rPr>
            </w:pPr>
            <w:r>
              <w:rPr>
                <w:rFonts w:ascii="Arial" w:cs="Arial" w:eastAsia="Arial" w:hAnsi="Arial"/>
                <w:sz w:val="18"/>
                <w:szCs w:val="18"/>
                <w:b w:val="1"/>
                <w:bCs w:val="1"/>
                <w:color w:val="auto"/>
                <w:w w:val="99"/>
              </w:rPr>
              <w:t>824</w:t>
            </w: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(208)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(183)</w:t>
            </w:r>
          </w:p>
        </w:tc>
      </w:tr>
      <w:tr>
        <w:trPr>
          <w:trHeight w:val="222"/>
        </w:trPr>
        <w:tc>
          <w:tcPr>
            <w:tcW w:w="7460" w:type="dxa"/>
            <w:vAlign w:val="bottom"/>
          </w:tcPr>
          <w:p>
            <w:pPr>
              <w:ind w:left="8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b w:val="1"/>
                <w:bCs w:val="1"/>
                <w:color w:val="auto"/>
                <w:w w:val="93"/>
              </w:rPr>
              <w:t>330</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53"/>
              <w:spacing w:after="0"/>
              <w:rPr>
                <w:sz w:val="20"/>
                <w:szCs w:val="20"/>
                <w:color w:val="auto"/>
              </w:rPr>
            </w:pPr>
            <w:r>
              <w:rPr>
                <w:rFonts w:ascii="Arial" w:cs="Arial" w:eastAsia="Arial" w:hAnsi="Arial"/>
                <w:sz w:val="18"/>
                <w:szCs w:val="18"/>
                <w:color w:val="auto"/>
                <w:w w:val="99"/>
              </w:rPr>
              <w:t>641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2"/>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center"/>
              <w:ind w:left="413"/>
              <w:spacing w:after="0"/>
              <w:rPr>
                <w:sz w:val="20"/>
                <w:szCs w:val="20"/>
                <w:color w:val="auto"/>
              </w:rPr>
            </w:pPr>
            <w:r>
              <w:rPr>
                <w:rFonts w:ascii="Arial" w:cs="Arial" w:eastAsia="Arial" w:hAnsi="Arial"/>
                <w:sz w:val="18"/>
                <w:szCs w:val="18"/>
                <w:b w:val="1"/>
                <w:bCs w:val="1"/>
                <w:color w:val="auto"/>
                <w:w w:val="99"/>
              </w:rPr>
              <w:t>(169)</w:t>
            </w:r>
          </w:p>
        </w:tc>
      </w:tr>
      <w:tr>
        <w:trPr>
          <w:trHeight w:val="238"/>
        </w:trPr>
        <w:tc>
          <w:tcPr>
            <w:tcW w:w="746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13"/>
              <w:spacing w:after="0"/>
              <w:rPr>
                <w:sz w:val="20"/>
                <w:szCs w:val="20"/>
                <w:color w:val="auto"/>
              </w:rPr>
            </w:pPr>
            <w:r>
              <w:rPr>
                <w:rFonts w:ascii="Arial" w:cs="Arial" w:eastAsia="Arial" w:hAnsi="Arial"/>
                <w:sz w:val="18"/>
                <w:szCs w:val="18"/>
                <w:b w:val="1"/>
                <w:bCs w:val="1"/>
                <w:color w:val="auto"/>
                <w:w w:val="99"/>
              </w:rPr>
              <w:t>(855)</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center"/>
              <w:ind w:left="453"/>
              <w:spacing w:after="0"/>
              <w:rPr>
                <w:sz w:val="20"/>
                <w:szCs w:val="20"/>
                <w:color w:val="auto"/>
              </w:rPr>
            </w:pPr>
            <w:r>
              <w:rPr>
                <w:rFonts w:ascii="Arial" w:cs="Arial" w:eastAsia="Arial" w:hAnsi="Arial"/>
                <w:sz w:val="18"/>
                <w:szCs w:val="18"/>
                <w:b w:val="1"/>
                <w:bCs w:val="1"/>
                <w:color w:val="auto"/>
                <w:w w:val="99"/>
              </w:rPr>
              <w:t>473</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Xylem reported revenue of $5,195 million for 2021, an increase of $319 million, or 6.5%, from $4,876 million reported in 2020. On a constant currency basis, revenue increased by $197 million, or 4.0%, during the year. The increase at constant currency was driven by an increase in organic revenue of $210 million reflecting strong organic growth in the industrial, commercial and residential end markets, partially offset by organic declines in utilities, largely as a result of component shortages in our Measurement &amp; Controls Solutions segment.</w:t>
      </w:r>
    </w:p>
    <w:p>
      <w:pPr>
        <w:spacing w:after="0" w:line="8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Operating income for 2021 was $585 million, reflecting an increase of $218 million, or 59.4%, compared to $367 million in 2020. Operating margin was 11.3% for 2021 versus 7.5% for 2020, an increase of 380 basis points. Operating margin benefited from decreases in special charges of $77 million and decreases in restructuring and realignment costs of $55 million during the year. Excluding the impact of these items, adjusted operating income was $ 611 million, with an adjusted operating margin of 11.8% in 2021 as compared to adjusted operating income of $525 million with an adjusted operating margin of 10.8% in 2020, an increase of 100 basis points. The increase in adjusted operating margin was primarily due to cost reductions from our productivity, restructuring and other cost saving initiatives, favorable volume and price realization. These impacts were partially offset by cost inflation and increased spending on strategic investments.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2021 include the following:</w:t>
      </w:r>
    </w:p>
    <w:p>
      <w:pPr>
        <w:spacing w:after="0" w:line="115" w:lineRule="exact"/>
        <w:rPr>
          <w:sz w:val="20"/>
          <w:szCs w:val="20"/>
          <w:color w:val="auto"/>
        </w:rPr>
      </w:pPr>
    </w:p>
    <w:p>
      <w:pPr>
        <w:ind w:left="460" w:right="420" w:hanging="332"/>
        <w:spacing w:after="0" w:line="259"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of $427 million, or $2.35 per diluted share ($452 million or $2.49 per diluted share on an adjusted basis, up 20.9% from 2020)</w:t>
      </w:r>
    </w:p>
    <w:p>
      <w:pPr>
        <w:spacing w:after="0" w:line="90" w:lineRule="exact"/>
        <w:rPr>
          <w:rFonts w:ascii="Arial" w:cs="Arial" w:eastAsia="Arial" w:hAnsi="Arial"/>
          <w:sz w:val="18"/>
          <w:szCs w:val="18"/>
          <w:color w:val="auto"/>
        </w:rPr>
      </w:pPr>
    </w:p>
    <w:p>
      <w:pPr>
        <w:ind w:left="440" w:hanging="31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cash provided by operating activities of $538 million and free cash flow of $330 million, down 49% from 2020</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Orders of $6,300 million, up 25.2% from $5,033 million in 2020 (up 22.6% on an organic basis)</w:t>
      </w:r>
    </w:p>
    <w:p>
      <w:pPr>
        <w:spacing w:after="0" w:line="115" w:lineRule="exact"/>
        <w:rPr>
          <w:rFonts w:ascii="Arial" w:cs="Arial" w:eastAsia="Arial" w:hAnsi="Arial"/>
          <w:sz w:val="18"/>
          <w:szCs w:val="18"/>
          <w:color w:val="auto"/>
        </w:rPr>
      </w:pPr>
    </w:p>
    <w:p>
      <w:pPr>
        <w:ind w:left="440" w:hanging="312"/>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paid to shareholders increased 8% in 2021.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Business Outlook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total revenue growth in the range of 1% to 3% in 2022, with organic revenue growth anticipated to be in the range of 3% to 5%.</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2021 organic revenue performance and 2022 organic revenue outlook by end market.</w:t>
      </w:r>
    </w:p>
    <w:p>
      <w:pPr>
        <w:spacing w:after="0" w:line="115" w:lineRule="exact"/>
        <w:rPr>
          <w:sz w:val="20"/>
          <w:szCs w:val="20"/>
          <w:color w:val="auto"/>
        </w:rPr>
      </w:pPr>
    </w:p>
    <w:p>
      <w:pPr>
        <w:ind w:left="660" w:right="40" w:hanging="330"/>
        <w:spacing w:after="0" w:line="220" w:lineRule="auto"/>
        <w:tabs>
          <w:tab w:leader="none" w:pos="621" w:val="left"/>
        </w:tabs>
        <w:numPr>
          <w:ilvl w:val="0"/>
          <w:numId w:val="20"/>
        </w:numPr>
        <w:rPr>
          <w:rFonts w:ascii="Arial" w:cs="Arial" w:eastAsia="Arial" w:hAnsi="Arial"/>
          <w:sz w:val="20"/>
          <w:szCs w:val="20"/>
          <w:color w:val="auto"/>
        </w:rPr>
      </w:pPr>
      <w:r>
        <w:rPr>
          <w:rFonts w:ascii="Arial" w:cs="Arial" w:eastAsia="Arial" w:hAnsi="Arial"/>
          <w:sz w:val="18"/>
          <w:szCs w:val="18"/>
          <w:color w:val="auto"/>
        </w:rPr>
        <w:t>Utilities revenue decreased by approximately 3% for 2021 on an organic basis driven by weakness in United States, partially offset by strength in western Europe, with relatively flat growth in the emerging markets. For 2022, we expect organic revenue growth in the low-single-digit range as utilities remain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7" w:name="page38"/>
    <w:bookmarkEnd w:id="37"/>
    <w:p>
      <w:pPr>
        <w:ind w:left="660" w:right="100"/>
        <w:spacing w:after="0" w:line="223" w:lineRule="auto"/>
        <w:rPr>
          <w:sz w:val="20"/>
          <w:szCs w:val="20"/>
          <w:color w:val="auto"/>
        </w:rPr>
      </w:pPr>
      <w:r>
        <w:rPr>
          <w:rFonts w:ascii="Arial" w:cs="Arial" w:eastAsia="Arial" w:hAnsi="Arial"/>
          <w:sz w:val="18"/>
          <w:szCs w:val="18"/>
          <w:color w:val="auto"/>
        </w:rPr>
        <w:t>focused on mission-critical applications. We expect uneven growth from China and India as multi-year government funding programs are deployed. The timing of large clean water utility project deployments has been impacted by the global shortage of electronic components. We anticipate that these deployments will ramp up when supply constraints ease in the second half of 2022 based on our strong backlog position and orders momentum. Additionally, we expect healthy momentum in the global test and treatment markets with rising demand and focus on pipeline assessment services and increased demand for our smart water solution and digital offerings.</w:t>
      </w:r>
    </w:p>
    <w:p>
      <w:pPr>
        <w:spacing w:after="0" w:line="257" w:lineRule="exact"/>
        <w:rPr>
          <w:sz w:val="20"/>
          <w:szCs w:val="20"/>
          <w:color w:val="auto"/>
        </w:rPr>
      </w:pPr>
    </w:p>
    <w:p>
      <w:pPr>
        <w:ind w:left="660" w:hanging="330"/>
        <w:spacing w:after="0" w:line="217" w:lineRule="auto"/>
        <w:tabs>
          <w:tab w:leader="none" w:pos="655"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Industrial revenue increased by approximately 14% for 2021 on an organic basis driven by strength across all major geographic regions. For 2022, we expect organic revenue growth in the mid-single-digit range as activity rebounds globally. We continue to see healthy growth in our dewatering business, especially in the emerging markets from mining demand as well as in the U.S. and Europe reflecting our strong orders and backlog.</w:t>
      </w:r>
    </w:p>
    <w:p>
      <w:pPr>
        <w:spacing w:after="0" w:line="254" w:lineRule="exact"/>
        <w:rPr>
          <w:rFonts w:ascii="Arial" w:cs="Arial" w:eastAsia="Arial" w:hAnsi="Arial"/>
          <w:sz w:val="21"/>
          <w:szCs w:val="21"/>
          <w:color w:val="auto"/>
        </w:rPr>
      </w:pPr>
    </w:p>
    <w:p>
      <w:pPr>
        <w:ind w:left="660" w:right="160" w:hanging="330"/>
        <w:spacing w:after="0" w:line="217" w:lineRule="auto"/>
        <w:tabs>
          <w:tab w:leader="none" w:pos="655"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 the commercial markets, organic revenue in 2021 increased by approximately 7% driven across all major geographic regions. For 2022, we expect organic revenue growth in the mid-single-digit range. We expect continued solid replacement business in the U.S. and an acceleration of construction activity. In Europe we expect modest share gains, with demand for eco-friendly products supported by increase in funding for green buildings.</w:t>
      </w:r>
    </w:p>
    <w:p>
      <w:pPr>
        <w:spacing w:after="0" w:line="254" w:lineRule="exact"/>
        <w:rPr>
          <w:rFonts w:ascii="Arial" w:cs="Arial" w:eastAsia="Arial" w:hAnsi="Arial"/>
          <w:sz w:val="21"/>
          <w:szCs w:val="21"/>
          <w:color w:val="auto"/>
        </w:rPr>
      </w:pPr>
    </w:p>
    <w:p>
      <w:pPr>
        <w:ind w:left="660" w:right="260" w:hanging="330"/>
        <w:spacing w:after="0" w:line="232" w:lineRule="auto"/>
        <w:tabs>
          <w:tab w:leader="none" w:pos="628"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 residential markets, organic revenue increased by approximately 10% in 2021 driven by strength across all major geographic regions. This market is primarily driven by replacement revenue serviced through our distribution network. For 2022, we expect organic revenue growth in the low-single-digit to mid-single-digit range. We anticipate demand and activity to moderate and remain healthy from increased residential users in the U.S. and western Europe. Additionally, we continue to anticipate strong demand in China for secondary water supply product applications.</w:t>
      </w:r>
    </w:p>
    <w:p>
      <w:pPr>
        <w:spacing w:after="0" w:line="33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2021, we incurred $6 million and $ 16 million in restructuring and realignment costs, respectively. We realized approximately $ 33 million of incremental net savings in 2021 from actions initiated in 2020, and an additional $2 million of net savings from our 2021 actions. As a result of our 2020 and 2021 actions we expect to realize approximately $ 8 million of incremental net savings in 2022 and beyond. During 2022, we currently expect to incur between $25 million and $30 million in restructuring and realignment costs.</w:t>
      </w:r>
    </w:p>
    <w:p>
      <w:pPr>
        <w:spacing w:after="0" w:line="8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We plan to continue to take actions and focus spending in 2022 on areas that allow us to make progress on our strategic priorities as well on our top priorities for 2022, which include converting our strong demand momentum into top-line growth by maximizing chip allocation and price realization, continuing our commitment to deliver margin expansion by mitigating supply chain and inflation headwinds and executing on strategic capital deployment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 v. 2020</w:t>
            </w:r>
          </w:p>
        </w:tc>
        <w:tc>
          <w:tcPr>
            <w:tcW w:w="240" w:type="dxa"/>
            <w:vAlign w:val="bottom"/>
            <w:tcBorders>
              <w:bottom w:val="single" w:sz="8" w:color="auto"/>
            </w:tcBorders>
          </w:tcPr>
          <w:p>
            <w:pPr>
              <w:spacing w:after="0"/>
              <w:rPr>
                <w:sz w:val="16"/>
                <w:szCs w:val="16"/>
                <w:color w:val="auto"/>
              </w:rPr>
            </w:pP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1,975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bp</w:t>
            </w: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Realignment costs</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(33.3) %</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1,979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i w:val="1"/>
                <w:iCs w:val="1"/>
                <w:color w:val="auto"/>
              </w:rPr>
              <w:t>Adjusted gross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 bp</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1,390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(320)bp</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 %</w:t>
            </w: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34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(95.1) %</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1,368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i w:val="1"/>
                <w:iCs w:val="1"/>
                <w:color w:val="auto"/>
              </w:rPr>
              <w:t>Adjusted operating expenses to revenue ratio</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26.3 %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(60)bp</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380 bp</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Gain (loss) from sale of business</w:t>
            </w:r>
          </w:p>
        </w:tc>
        <w:tc>
          <w:tcPr>
            <w:tcW w:w="34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i w:val="1"/>
                <w:iCs w:val="1"/>
                <w:color w:val="auto"/>
              </w:rPr>
              <w:t>Tax rate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540 bp</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4"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versus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Revenue generated for 2021 was $5,195 million, an increase of $319 million, or 6.5%, compared to $4,876 million in 2020. On a constant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currency basis, revenue grew 4.0% during 2021. The increase at constant currency was driven by an increase in organic revenue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$210 million reflecting strong organic growth in the industrial, commercial and residential end markets, partially offset by organic declines 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utilities, largely as a result of component shortages in our Measurement &amp; Controls Solutions segment.</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2021:</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1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restart"/>
          </w:tcPr>
          <w:p>
            <w:pPr>
              <w:jc w:val="right"/>
              <w:ind w:right="33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16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40" w:type="dxa"/>
            <w:vAlign w:val="bottom"/>
          </w:tcPr>
          <w:p>
            <w:pPr>
              <w:spacing w:after="0"/>
              <w:rPr>
                <w:sz w:val="16"/>
                <w:szCs w:val="16"/>
                <w:color w:val="auto"/>
              </w:rPr>
            </w:pPr>
          </w:p>
        </w:tc>
        <w:tc>
          <w:tcPr>
            <w:tcW w:w="17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Change</w:t>
            </w:r>
          </w:p>
        </w:tc>
        <w:tc>
          <w:tcPr>
            <w:tcW w:w="1080" w:type="dxa"/>
            <w:vAlign w:val="bottom"/>
          </w:tcPr>
          <w:p>
            <w:pPr>
              <w:jc w:val="right"/>
              <w:ind w:right="11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2"/>
        </w:trPr>
        <w:tc>
          <w:tcPr>
            <w:tcW w:w="2740" w:type="dxa"/>
            <w:vAlign w:val="bottom"/>
          </w:tcPr>
          <w:p>
            <w:pPr>
              <w:ind w:left="20"/>
              <w:spacing w:after="0"/>
              <w:rPr>
                <w:sz w:val="20"/>
                <w:szCs w:val="20"/>
                <w:color w:val="auto"/>
              </w:rPr>
            </w:pPr>
            <w:r>
              <w:rPr>
                <w:rFonts w:ascii="Arial" w:cs="Arial" w:eastAsia="Arial" w:hAnsi="Arial"/>
                <w:sz w:val="18"/>
                <w:szCs w:val="18"/>
                <w:color w:val="auto"/>
              </w:rPr>
              <w:t>2020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8"/>
        </w:trPr>
        <w:tc>
          <w:tcPr>
            <w:tcW w:w="27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w w:val="99"/>
              </w:rPr>
              <w:t>(13)</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2"/>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2021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60" w:right="140" w:hanging="491"/>
        <w:spacing w:after="0" w:line="258"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strengthening in value of various currencies against the U.S. Dollar, the largest being the Euro, the Chinese Yuan, the British Pound, the Australian Dollar and the Canadian Dollar.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44"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Water Infrastructure</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Water Infrastructure revenue increased $168 million, or 8.1%, to $2,247 million in 2021 (5.0% increase on a constant currency basis) compared to 2020. Revenue benefited from $65 million of foreign currency translation, with the change at constant currency coming entirely from organic growth of $103 million. Organic growth during the year was driven by the industrial end market across all of our major geographic regions, with particular strength across the emerging markets, especially in Africa where we had strong dewatering sales, and in Latin America, where prior year COVID-19 impacts caused significant project delays. Industrial also had strong growth in western Europe and Oceania from continued general industrial strength. Organic growth was partially offset by weakness in the utility end market, driven by softness in the dewatering business in the U.S., and weakness in the emerging markets partially offset by strength in western Europe, where operational spending and project execution was strong.</w:t>
      </w:r>
    </w:p>
    <w:p>
      <w:pPr>
        <w:spacing w:after="0" w:line="10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From an application perspective, organic revenue growth was driven by our transport applications. The transport applications had strong dewatering revenue growth across the emerging markets, where we experienced market recovery from COVID-19 impacts and strength in mining, and growth from aftermarket parts and services revenue in western Europe. Transport growth in these regions was partially offset by weakness in the U.S. driven by declines in the dewatering construction market. Organic revenue from our treatment applications also contributed to the segment's growth during the year, driven by market recovery in western Europe, and project orders in the emerging markets, which were partially offset by the timing of project deliveries Latin America.</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Applied Water revenue increased $179 million, or 12.5%, in 2021 (10.1% increase on a constant currency basis) compared to 2020. Revenue benefited from $34 million of foreign currency translation, with the change at constant currency coming entirely from organic growth during the year of $145 million. Organic growth for the year included growth across all three of the applications and end markets in the segment. The organic growth was led by strength in industrial, which was primarily driven by market recovery and good backlog execution in the emerging markets, particularly in China and India, as well as strength in specialty flow control applications in both the U.S. and western Europe. Commercial building services had strong organic growth as we executed on healthy backlog coming into the year in the U.S., saw good COVID-19 recovery in western Europe and growth in the emerging markets, driven by project and backlog execution in China. Residential building services also had strong organic growth in the U.S. as we executed on healthy backlog coming into the year, as well as in the emerging markets, where we experienced strong second water supply business in China.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Measurement &amp; Control Solutions revenue decreased $28 million, or 2.1%, in 2021 (3.7% decrease on a constant currency basis) compared to 2020. Revenue benefited from $23 million of foreign currency translation during the year, with the change at constant currency driven by an organic decline of $38 million, or 2.8%, and to a lesser extent, $13 million of reduced revenue related to divestiture impacts during the year.</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Organic weakness for the year was driven by declines in the utility end market, primarily in North America, partially offset by modest strength in western Europe and the emerging markets. Strength in the industrial end market, across all major geographies, partially offset revenue declines in the segment.</w:t>
      </w:r>
    </w:p>
    <w:p>
      <w:pPr>
        <w:spacing w:after="0" w:line="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to simplify and focus the application discussion, beginning with the first quarter of 2021, have been aggregating the test application into the water application and the software as a service and other application into the water and energy applications, as applicable, as both of these sub-applications provide products and services to the broader, ultimate applications of water and energy. From an application perspective, organic revenue decline during the year was driven by declines in the electric business within the energy application in North America due to electronic component shortages. The water application had modest organic growth in western Europe largely attributable to our test business and growth in the emerging markets. This growth was largely offset by declines in our metrology business in the U.S. due to deployment constraints as a result of chip shortages.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2021 increased by $1,267 million, or 25.2%, to $6,300 million (22.4% increase on a constant currency basis). Order intake during the year benefited from $140 million of foreign currency translation. The increase on a constant currency basis primarily consisted of organic order growth of $1,139 million, or 22.6%, over the prior year.</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w w:val="98"/>
              </w:rPr>
              <w:t>Water Infrastructure</w:t>
            </w:r>
          </w:p>
        </w:tc>
        <w:tc>
          <w:tcPr>
            <w:tcW w:w="18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vMerge w:val="restart"/>
          </w:tcPr>
          <w:p>
            <w:pPr>
              <w:jc w:val="right"/>
              <w:ind w:right="393"/>
              <w:spacing w:after="0"/>
              <w:rPr>
                <w:sz w:val="20"/>
                <w:szCs w:val="20"/>
                <w:color w:val="auto"/>
              </w:rPr>
            </w:pPr>
            <w:r>
              <w:rPr>
                <w:rFonts w:ascii="Arial" w:cs="Arial" w:eastAsia="Arial" w:hAnsi="Arial"/>
                <w:sz w:val="16"/>
                <w:szCs w:val="16"/>
                <w:b w:val="1"/>
                <w:bCs w:val="1"/>
                <w:color w:val="auto"/>
              </w:rPr>
              <w:t>Applied Water</w:t>
            </w:r>
          </w:p>
        </w:tc>
        <w:tc>
          <w:tcPr>
            <w:tcW w:w="160" w:type="dxa"/>
            <w:vAlign w:val="bottom"/>
            <w:vMerge w:val="restart"/>
          </w:tcPr>
          <w:p>
            <w:pPr>
              <w:spacing w:after="0"/>
              <w:rPr>
                <w:sz w:val="16"/>
                <w:szCs w:val="16"/>
                <w:color w:val="auto"/>
              </w:rPr>
            </w:pPr>
          </w:p>
        </w:tc>
        <w:tc>
          <w:tcPr>
            <w:tcW w:w="2220" w:type="dxa"/>
            <w:vAlign w:val="bottom"/>
            <w:gridSpan w:val="4"/>
          </w:tcPr>
          <w:p>
            <w:pPr>
              <w:ind w:left="120"/>
              <w:spacing w:after="0"/>
              <w:rPr>
                <w:sz w:val="20"/>
                <w:szCs w:val="20"/>
                <w:color w:val="auto"/>
              </w:rPr>
            </w:pPr>
            <w:r>
              <w:rPr>
                <w:rFonts w:ascii="Arial" w:cs="Arial" w:eastAsia="Arial" w:hAnsi="Arial"/>
                <w:sz w:val="16"/>
                <w:szCs w:val="16"/>
                <w:b w:val="1"/>
                <w:bCs w:val="1"/>
                <w:color w:val="auto"/>
              </w:rPr>
              <w:t>Measurement &amp; Control</w:t>
            </w:r>
          </w:p>
        </w:tc>
        <w:tc>
          <w:tcPr>
            <w:tcW w:w="240" w:type="dxa"/>
            <w:vAlign w:val="bottom"/>
          </w:tcPr>
          <w:p>
            <w:pPr>
              <w:spacing w:after="0"/>
              <w:rPr>
                <w:sz w:val="16"/>
                <w:szCs w:val="16"/>
                <w:color w:val="auto"/>
              </w:rPr>
            </w:pPr>
          </w:p>
        </w:tc>
        <w:tc>
          <w:tcPr>
            <w:tcW w:w="1780" w:type="dxa"/>
            <w:vAlign w:val="bottom"/>
            <w:gridSpan w:val="2"/>
            <w:vMerge w:val="restart"/>
          </w:tcPr>
          <w:p>
            <w:pPr>
              <w:jc w:val="right"/>
              <w:ind w:right="47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0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2"/>
        </w:trPr>
        <w:tc>
          <w:tcPr>
            <w:tcW w:w="2640" w:type="dxa"/>
            <w:vAlign w:val="bottom"/>
          </w:tcPr>
          <w:p>
            <w:pPr>
              <w:ind w:left="20"/>
              <w:spacing w:after="0"/>
              <w:rPr>
                <w:sz w:val="20"/>
                <w:szCs w:val="20"/>
                <w:color w:val="auto"/>
              </w:rPr>
            </w:pPr>
            <w:r>
              <w:rPr>
                <w:rFonts w:ascii="Arial" w:cs="Arial" w:eastAsia="Arial" w:hAnsi="Arial"/>
                <w:sz w:val="18"/>
                <w:szCs w:val="18"/>
                <w:color w:val="auto"/>
              </w:rPr>
              <w:t>2020 Orders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11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28"/>
        </w:trPr>
        <w:tc>
          <w:tcPr>
            <w:tcW w:w="26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2"/>
        </w:trPr>
        <w:tc>
          <w:tcPr>
            <w:tcW w:w="26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187"/>
        </w:trPr>
        <w:tc>
          <w:tcPr>
            <w:tcW w:w="2640" w:type="dxa"/>
            <w:vAlign w:val="bottom"/>
          </w:tcPr>
          <w:p>
            <w:pPr>
              <w:ind w:left="140"/>
              <w:spacing w:after="0" w:line="188"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2"/>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0" w:type="dxa"/>
            <w:vAlign w:val="bottom"/>
          </w:tcPr>
          <w:p>
            <w:pPr>
              <w:spacing w:after="0"/>
              <w:rPr>
                <w:sz w:val="1"/>
                <w:szCs w:val="1"/>
                <w:color w:val="auto"/>
              </w:rPr>
            </w:pPr>
          </w:p>
        </w:tc>
      </w:tr>
      <w:tr>
        <w:trPr>
          <w:trHeight w:val="222"/>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2021 Orders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1,860</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right="160" w:hanging="491"/>
        <w:spacing w:after="0" w:line="258"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strengthening in value of various currencies against the U.S. Dollar, the largest being the Euro, the Chinese Yuan, the British Pound, the Australian Dollar and the Canadian Dollar.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Water Infrastructure segment orders increased $ 337 million, or 15.8%, to $2,471 million (12.2% increase on a constant currency basis). Order intake during the year benefited from $76 million of foreign currency translation. The order increase on a constant currency basis consisted of organic order growth in both the transport and treatment applications. Organic growth in the transport application was driven by healthy market conditions in the U.S. and strong order intake in western Europe, as well as increased demand for dewatering applications in the emerging markets. Organic orders for the treatment application also increased during the year due to strong order intake in the first half of the year, driven by strength in the U.S. and western Europe.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Applied Water segment orders increased $377 million, or 25.4% to $1,860 million (22.8% increase on a constant currency bases). Order intake during the year benefited from $39 million of foreign currency translation. The order increase on a constant currency basis was driven by organic order growth in the U.S. across all end markets and applications, where we benefited from strong demand, amplified by early ordering to mitigate longer lead times, as well as strength in the specialty flow control applications; in western Europe, where we benefited from strong order intake; and in the emerging markets, driven by China, as markets conditions recovered from the COVID-19 pandemic.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Measurement &amp; Control Solutions segment orders increased $ 553 million, or 39.1%, to $1,969 million (37.3% increase on a constant currency basis). Order intake during the year benefited from $25 million of foreign currency translation. The order increase on a constant currency basis included organic order growth of $540 million, or 38.1% which was partially offset by a $12 million reduction in orders related to divestiture impacts during the year. Organic order growth was led by the water application, primarily in our metrology business, but also from our test business. Order intake in the energy application also grew organically during the year, where the electric and gas businesses benefited from COVID-19 recovery, coupled with increased order intake due to the known chip shortages.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Backlog</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$3,240 million at December 31, 2021 and $2,124 million at December 31, 2020, an increase of 52.6%. We anticipate that approximately 60% of our total backlog at December 31, 2021 will be recognized as revenue during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Gross margin as a percentage of consolidated revenue increased 50 basis points to 38.0% in 2021 as compared to 37.5% in 2020. The gross margin increase for the year was primarily driven by cost reductions from our productivity, restructuring and other cost saving initiatives, price realization and favorable volume, partially offset by inflation.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Change</w:t>
            </w:r>
          </w:p>
        </w:tc>
      </w:tr>
      <w:tr>
        <w:trPr>
          <w:trHeight w:val="222"/>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8"/>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(70)bp</w:t>
            </w:r>
          </w:p>
        </w:tc>
      </w:tr>
      <w:tr>
        <w:trPr>
          <w:trHeight w:val="22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8"/>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 bp</w:t>
            </w:r>
          </w:p>
        </w:tc>
      </w:tr>
      <w:tr>
        <w:trPr>
          <w:trHeight w:val="22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 %</w:t>
            </w:r>
          </w:p>
        </w:tc>
      </w:tr>
      <w:tr>
        <w:trPr>
          <w:trHeight w:val="228"/>
        </w:trPr>
        <w:tc>
          <w:tcPr>
            <w:tcW w:w="582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40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22"/>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1,390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1,463</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8"/>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(320)bp</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7"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SG&amp;A expenses increased by $36 million (increase of 3.1%) to 22.7% of revenue in 2021, as compared to 23.4% of revenue in 2020. Revenue growth was higher than SG&amp;A increases resulting in a lower SG&amp;A as a percentage of sales. Cost increases were driven by increased investments in strategic growth initiatives and inflation, partially offset by cost reductions from our productivity, restructuring and other cost saving initiatives.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R&amp;D expense was $204 million, or 3.9% of revenue, in 2021 as compared to $187 million, or 3.8% of revenue, in 2020. The increase in R&amp;D as a percent of revenue for year was primarily driven by the Company's continued focus on strategic investments during the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was designed to support our long-term financial resilience and simplify our operations, strengthen our competitive positioning and better serve our customers.</w:t>
      </w:r>
    </w:p>
    <w:p>
      <w:pPr>
        <w:spacing w:after="0" w:line="6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As a result of this action, during 2021, we recognized restructuring charges of $4 million and $2 million in our Water Infrastructure and Applied Water segments, respectively. These charges included reduction of headcount across both segments. Other, less significant, restructuring actions taken in 2021 resulted in $3 million of charges during 2021 and are included in the information presented below.</w:t>
      </w:r>
    </w:p>
    <w:p>
      <w:pPr>
        <w:spacing w:after="0" w:line="9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 result of this action, during 2020, we recognized restructuring charges of $19 million, $4 million and $30 million in our Water Infrastructure, Applied Water and Measurement &amp; Control Solutions segments, respectively. These charges included reduction of headcount across all segments and asset impairments within our Measurement &amp; Control Solutions segment. Immaterial restructuring charges incurred during the first quarter of 2020 are included in the 2020 plan information presented below.</w:t>
      </w:r>
    </w:p>
    <w:p>
      <w:pPr>
        <w:spacing w:after="0" w:line="9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 2021 and 2020:</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4"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8"/>
        </w:trPr>
        <w:tc>
          <w:tcPr>
            <w:tcW w:w="82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r>
      <w:tr>
        <w:trPr>
          <w:trHeight w:val="222"/>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894"/>
              <w:spacing w:after="0"/>
              <w:rPr>
                <w:sz w:val="20"/>
                <w:szCs w:val="20"/>
                <w:color w:val="auto"/>
              </w:rPr>
            </w:pPr>
            <w:r>
              <w:rPr>
                <w:rFonts w:ascii="Arial" w:cs="Arial" w:eastAsia="Arial" w:hAnsi="Arial"/>
                <w:sz w:val="18"/>
                <w:szCs w:val="18"/>
                <w:color w:val="auto"/>
                <w:w w:val="99"/>
              </w:rPr>
              <w:t>196</w:t>
            </w:r>
          </w:p>
        </w:tc>
      </w:tr>
      <w:tr>
        <w:trPr>
          <w:trHeight w:val="228"/>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9"/>
                <w:szCs w:val="19"/>
                <w:color w:val="auto"/>
              </w:rPr>
            </w:pPr>
          </w:p>
        </w:tc>
        <w:tc>
          <w:tcPr>
            <w:tcW w:w="1440" w:type="dxa"/>
            <w:vAlign w:val="bottom"/>
          </w:tcPr>
          <w:p>
            <w:pPr>
              <w:jc w:val="center"/>
              <w:ind w:left="894"/>
              <w:spacing w:after="0"/>
              <w:rPr>
                <w:sz w:val="20"/>
                <w:szCs w:val="20"/>
                <w:color w:val="auto"/>
              </w:rPr>
            </w:pPr>
            <w:r>
              <w:rPr>
                <w:rFonts w:ascii="Arial" w:cs="Arial" w:eastAsia="Arial" w:hAnsi="Arial"/>
                <w:sz w:val="18"/>
                <w:szCs w:val="18"/>
                <w:color w:val="auto"/>
                <w:w w:val="99"/>
              </w:rPr>
              <w:t>811</w:t>
            </w:r>
          </w:p>
        </w:tc>
      </w:tr>
      <w:tr>
        <w:trPr>
          <w:trHeight w:val="22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54"/>
              <w:spacing w:after="0"/>
              <w:rPr>
                <w:sz w:val="20"/>
                <w:szCs w:val="20"/>
                <w:color w:val="auto"/>
              </w:rPr>
            </w:pPr>
            <w:r>
              <w:rPr>
                <w:rFonts w:ascii="Arial" w:cs="Arial" w:eastAsia="Arial" w:hAnsi="Arial"/>
                <w:sz w:val="18"/>
                <w:szCs w:val="18"/>
                <w:color w:val="auto"/>
                <w:w w:val="99"/>
              </w:rPr>
              <w:t>(688)</w:t>
            </w:r>
          </w:p>
        </w:tc>
      </w:tr>
      <w:tr>
        <w:trPr>
          <w:trHeight w:val="222"/>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Planned reductions - December 31</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9"/>
                <w:szCs w:val="19"/>
                <w:color w:val="auto"/>
              </w:rPr>
            </w:pPr>
          </w:p>
        </w:tc>
        <w:tc>
          <w:tcPr>
            <w:tcW w:w="1440" w:type="dxa"/>
            <w:vAlign w:val="bottom"/>
          </w:tcPr>
          <w:p>
            <w:pPr>
              <w:jc w:val="center"/>
              <w:ind w:left="894"/>
              <w:spacing w:after="0"/>
              <w:rPr>
                <w:sz w:val="20"/>
                <w:szCs w:val="20"/>
                <w:color w:val="auto"/>
              </w:rPr>
            </w:pPr>
            <w:r>
              <w:rPr>
                <w:rFonts w:ascii="Arial" w:cs="Arial" w:eastAsia="Arial" w:hAnsi="Arial"/>
                <w:sz w:val="18"/>
                <w:szCs w:val="18"/>
                <w:color w:val="auto"/>
                <w:w w:val="99"/>
              </w:rPr>
              <w:t>319</w:t>
            </w:r>
          </w:p>
        </w:tc>
      </w:tr>
      <w:tr>
        <w:trPr>
          <w:trHeight w:val="20"/>
        </w:trPr>
        <w:tc>
          <w:tcPr>
            <w:tcW w:w="8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2020 and 2021 restructuring actions: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third quarter of 2021, we recorded an adjustment of $3 million to decrease the liability within the Measurement &amp; Control Solutions segment, related to actions commenced in 2019. As a result of this adjustment, the estimated total cost of the actions commenced in 2019 decreased to $24 million for the Measurement &amp; Control Solutions segment. The actions commenced in 2019 are complete.</w:t>
      </w:r>
    </w:p>
    <w:p>
      <w:pPr>
        <w:spacing w:after="0" w:line="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These actions are expected to continue through the end of 2022.</w:t>
      </w:r>
    </w:p>
    <w:p>
      <w:pPr>
        <w:spacing w:after="0" w:line="91"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The Water Infrastructure, Applied Water, and Measurement &amp; Control Solutions actions commenced in 2020 consist primarily of severance charges across segments and asset impairment charges in our Measurement &amp; Control Solutions segment. These actions are complete.</w:t>
      </w:r>
    </w:p>
    <w:p>
      <w:pPr>
        <w:spacing w:after="0" w:line="67"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result of the actions initiated in 2021, we achieved savings of approximately $ 1 million in 2021 and estimate annual future net savings beginning in 2022 of approximately $2 million, resulting in $1 million of incremental savings from 2021 actions.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3"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color w:val="auto"/>
        </w:rPr>
        <w:t>During the second and third quarters of 2020, we determined that certain assets within our Measurement &amp; Control Solutions segment, including software, proprietary technology, and internally developed in-process software, were impaired. Accordingly we recognized impairment charges of $21 million during the year. Refer to Note 12, "Goodwill and Other Intangible Assets," for additional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Charge</w:t>
      </w:r>
    </w:p>
    <w:p>
      <w:pPr>
        <w:spacing w:after="0" w:line="124"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Advanced Infrastructure Analytics (“AIA”) goodwill reporting unit within our Measurement &amp; Control Solutions segment. The AIA goodwill reporting unit is comprised of our assessment services business (primarily the Pure acquisition) as well as our decision intelligence solutions business. The impairment resulted from management's updated forecast of future cash flows for the AIA businesses, which reflected significant negative volume impacts, primarily on our assessment services business, due to travel restrictions and site closures as a result of the COVID-19 pandemic. These factors drove a decrease in the fair value, based on a discounted cash flow valuation,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3" w:name="page44"/>
    <w:bookmarkEnd w:id="43"/>
    <w:p>
      <w:pPr>
        <w:ind w:right="300"/>
        <w:spacing w:after="0" w:line="234" w:lineRule="auto"/>
        <w:rPr>
          <w:sz w:val="20"/>
          <w:szCs w:val="20"/>
          <w:color w:val="auto"/>
        </w:rPr>
      </w:pPr>
      <w:r>
        <w:rPr>
          <w:rFonts w:ascii="Arial" w:cs="Arial" w:eastAsia="Arial" w:hAnsi="Arial"/>
          <w:sz w:val="18"/>
          <w:szCs w:val="18"/>
          <w:color w:val="auto"/>
        </w:rPr>
        <w:t>of the AIA goodwill reporting unit that was below its carrying value, requiring an impairment charge. Refer to Note 12, "Goodwill and Other Intangible Assets,"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3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Operating income was $585 million (operating margin of 11.3%) during 2021, an increase of $218 million, or 59.4%, when compared to operating income of $367 million (operating margin of 7.5%) during the prior year. Operating margin benefited from decreases in special charges of $77 million and decreases in restructuring and realignment costs of $55 million as compared to the prior year. Excluding these special charges and restructuring and realignment costs, adjusted operating income was $611 million (adjusted operating margin of 11.8%) for 2021 as compared to adjusted operating income of $525 million (adjusted operating margin of 10.8%) during the prior year. The increase in adjusted operating margin was primarily due to cost reductions from our productivity, restructuring and other cost saving initiatives, favorable volume and price realization. These impacts were partially offset by cost inflation and increased spending on strategic investments.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Adjusted EBITDA was $890 million (Adjusted EBITDA margin of 17.1%) during 2021, an increase of $95 million, or 11.9%, when compared to Adjusted EBITDA of $795 million (Adjusted EBITDA margin of 16.3%) during the prior year. The increase in Adjusted EBITDA margin was primarily due to the same factors impacting operating margin noted above.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shd w:val="clear" w:color="auto" w:fill="CCEEFF"/>
          </w:tcPr>
          <w:p>
            <w:pPr>
              <w:spacing w:after="0"/>
              <w:rPr>
                <w:sz w:val="16"/>
                <w:szCs w:val="16"/>
                <w:color w:val="auto"/>
              </w:rPr>
            </w:pPr>
          </w:p>
        </w:tc>
      </w:tr>
      <w:tr>
        <w:trPr>
          <w:trHeight w:val="208"/>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Pr>
          <w:p>
            <w:pPr>
              <w:ind w:left="34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17.2 %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15.3 %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190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(57.1) %</w:t>
            </w:r>
          </w:p>
        </w:tc>
      </w:tr>
      <w:tr>
        <w:trPr>
          <w:trHeight w:val="222"/>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399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Applied Water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Pr>
          <w:p>
            <w:pPr>
              <w:ind w:left="34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14.3 %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60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(22.2) %</w:t>
            </w:r>
          </w:p>
        </w:tc>
      </w:tr>
      <w:tr>
        <w:trPr>
          <w:trHeight w:val="228"/>
        </w:trPr>
        <w:tc>
          <w:tcPr>
            <w:tcW w:w="6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NM %</w:t>
            </w:r>
          </w:p>
        </w:tc>
      </w:tr>
      <w:tr>
        <w:trPr>
          <w:trHeight w:val="222"/>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15.4 %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14.9 %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50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8"/>
        </w:trPr>
        <w:tc>
          <w:tcPr>
            <w:tcW w:w="624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1"/>
              <w:spacing w:after="0"/>
              <w:rPr>
                <w:sz w:val="20"/>
                <w:szCs w:val="20"/>
                <w:color w:val="auto"/>
              </w:rPr>
            </w:pPr>
            <w:r>
              <w:rPr>
                <w:rFonts w:ascii="Arial" w:cs="Arial" w:eastAsia="Arial" w:hAnsi="Arial"/>
                <w:sz w:val="18"/>
                <w:szCs w:val="18"/>
                <w:color w:val="auto"/>
              </w:rPr>
              <w:t>(106)</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(111.3) %</w:t>
            </w:r>
          </w:p>
        </w:tc>
      </w:tr>
      <w:tr>
        <w:trPr>
          <w:trHeight w:val="228"/>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870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tcPr>
          <w:p>
            <w:pPr>
              <w:ind w:left="50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40</w:t>
            </w:r>
          </w:p>
        </w:tc>
        <w:tc>
          <w:tcPr>
            <w:tcW w:w="1480" w:type="dxa"/>
            <w:vAlign w:val="bottom"/>
            <w:gridSpan w:val="3"/>
          </w:tcPr>
          <w:p>
            <w:pPr>
              <w:jc w:val="right"/>
              <w:ind w:right="130"/>
              <w:spacing w:after="0"/>
              <w:rPr>
                <w:sz w:val="20"/>
                <w:szCs w:val="20"/>
                <w:color w:val="auto"/>
              </w:rPr>
            </w:pPr>
            <w:r>
              <w:rPr>
                <w:rFonts w:ascii="Arial" w:cs="Arial" w:eastAsia="Arial" w:hAnsi="Arial"/>
                <w:sz w:val="18"/>
                <w:szCs w:val="18"/>
                <w:color w:val="auto"/>
              </w:rPr>
              <w:t>(92.5) %</w:t>
            </w:r>
          </w:p>
        </w:tc>
      </w:tr>
      <w:tr>
        <w:trPr>
          <w:trHeight w:val="228"/>
        </w:trPr>
        <w:tc>
          <w:tcPr>
            <w:tcW w:w="6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Special charges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(100.0) %</w:t>
            </w:r>
          </w:p>
        </w:tc>
      </w:tr>
      <w:tr>
        <w:trPr>
          <w:trHeight w:val="222"/>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w w:val="99"/>
              </w:rPr>
              <w:t>bp</w:t>
            </w:r>
          </w:p>
        </w:tc>
      </w:tr>
      <w:tr>
        <w:trPr>
          <w:trHeight w:val="228"/>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w w:val="99"/>
              </w:rPr>
              <w:t>NM</w:t>
            </w:r>
          </w:p>
        </w:tc>
        <w:tc>
          <w:tcPr>
            <w:tcW w:w="400" w:type="dxa"/>
            <w:vAlign w:val="bottom"/>
            <w:tcBorders>
              <w:bottom w:val="single" w:sz="8" w:color="CCEEFF"/>
            </w:tcBorders>
          </w:tcPr>
          <w:p>
            <w:pPr>
              <w:spacing w:after="0"/>
              <w:rPr>
                <w:sz w:val="19"/>
                <w:szCs w:val="19"/>
                <w:color w:val="auto"/>
              </w:rPr>
            </w:pPr>
          </w:p>
        </w:tc>
      </w:tr>
      <w:tr>
        <w:trPr>
          <w:trHeight w:val="222"/>
        </w:trPr>
        <w:tc>
          <w:tcPr>
            <w:tcW w:w="6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Adjusted operating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Total Xylem</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8"/>
        </w:trPr>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28"/>
        </w:trPr>
        <w:tc>
          <w:tcPr>
            <w:tcW w:w="6240" w:type="dxa"/>
            <w:vAlign w:val="bottom"/>
          </w:tcPr>
          <w:p>
            <w:pPr>
              <w:ind w:left="340"/>
              <w:spacing w:after="0"/>
              <w:rPr>
                <w:sz w:val="20"/>
                <w:szCs w:val="20"/>
                <w:color w:val="auto"/>
              </w:rPr>
            </w:pPr>
            <w:r>
              <w:rPr>
                <w:rFonts w:ascii="Arial" w:cs="Arial" w:eastAsia="Arial" w:hAnsi="Arial"/>
                <w:sz w:val="18"/>
                <w:szCs w:val="18"/>
                <w:color w:val="auto"/>
              </w:rPr>
              <w:t>Operating margin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7.5 %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380</w:t>
            </w:r>
          </w:p>
        </w:tc>
        <w:tc>
          <w:tcPr>
            <w:tcW w:w="400" w:type="dxa"/>
            <w:vAlign w:val="bottom"/>
          </w:tcPr>
          <w:p>
            <w:pPr>
              <w:jc w:val="right"/>
              <w:ind w:right="10"/>
              <w:spacing w:after="0"/>
              <w:rPr>
                <w:sz w:val="20"/>
                <w:szCs w:val="20"/>
                <w:color w:val="auto"/>
              </w:rPr>
            </w:pPr>
            <w:r>
              <w:rPr>
                <w:rFonts w:ascii="Arial" w:cs="Arial" w:eastAsia="Arial" w:hAnsi="Arial"/>
                <w:sz w:val="18"/>
                <w:szCs w:val="18"/>
                <w:i w:val="1"/>
                <w:iCs w:val="1"/>
                <w:color w:val="auto"/>
              </w:rPr>
              <w:t>bp</w:t>
            </w:r>
          </w:p>
        </w:tc>
      </w:tr>
      <w:tr>
        <w:trPr>
          <w:trHeight w:val="228"/>
        </w:trPr>
        <w:tc>
          <w:tcPr>
            <w:tcW w:w="6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Restructuring and realignment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77</w:t>
            </w:r>
          </w:p>
        </w:tc>
        <w:tc>
          <w:tcPr>
            <w:tcW w:w="14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(71.4) %</w:t>
            </w:r>
          </w:p>
        </w:tc>
      </w:tr>
      <w:tr>
        <w:trPr>
          <w:trHeight w:val="228"/>
        </w:trPr>
        <w:tc>
          <w:tcPr>
            <w:tcW w:w="6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Special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81</w:t>
            </w:r>
          </w:p>
        </w:tc>
        <w:tc>
          <w:tcPr>
            <w:tcW w:w="1480" w:type="dxa"/>
            <w:vAlign w:val="bottom"/>
            <w:tcBorders>
              <w:bottom w:val="single" w:sz="8" w:color="CCEEFF"/>
            </w:tcBorders>
            <w:gridSpan w:val="3"/>
          </w:tcPr>
          <w:p>
            <w:pPr>
              <w:jc w:val="right"/>
              <w:ind w:right="130"/>
              <w:spacing w:after="0"/>
              <w:rPr>
                <w:sz w:val="20"/>
                <w:szCs w:val="20"/>
                <w:color w:val="auto"/>
              </w:rPr>
            </w:pPr>
            <w:r>
              <w:rPr>
                <w:rFonts w:ascii="Arial" w:cs="Arial" w:eastAsia="Arial" w:hAnsi="Arial"/>
                <w:sz w:val="18"/>
                <w:szCs w:val="18"/>
                <w:color w:val="auto"/>
              </w:rPr>
              <w:t>(95.1) %</w:t>
            </w:r>
          </w:p>
        </w:tc>
      </w:tr>
      <w:tr>
        <w:trPr>
          <w:trHeight w:val="222"/>
        </w:trPr>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r>
      <w:tr>
        <w:trPr>
          <w:trHeight w:val="238"/>
        </w:trPr>
        <w:tc>
          <w:tcPr>
            <w:tcW w:w="62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c>
          <w:tcPr>
            <w:tcW w:w="1080" w:type="dxa"/>
            <w:vAlign w:val="bottom"/>
            <w:gridSpan w:val="2"/>
          </w:tcPr>
          <w:p>
            <w:pPr>
              <w:jc w:val="right"/>
              <w:spacing w:after="0"/>
              <w:rPr>
                <w:sz w:val="20"/>
                <w:szCs w:val="20"/>
                <w:color w:val="auto"/>
              </w:rPr>
            </w:pPr>
            <w:r>
              <w:rPr>
                <w:rFonts w:ascii="Arial" w:cs="Arial" w:eastAsia="Arial" w:hAnsi="Arial"/>
                <w:sz w:val="18"/>
                <w:szCs w:val="18"/>
                <w:i w:val="1"/>
                <w:iCs w:val="1"/>
                <w:color w:val="auto"/>
              </w:rPr>
              <w:t>100</w:t>
            </w:r>
          </w:p>
        </w:tc>
        <w:tc>
          <w:tcPr>
            <w:tcW w:w="400" w:type="dxa"/>
            <w:vAlign w:val="bottom"/>
          </w:tcPr>
          <w:p>
            <w:pPr>
              <w:jc w:val="right"/>
              <w:ind w:right="90"/>
              <w:spacing w:after="0"/>
              <w:rPr>
                <w:sz w:val="20"/>
                <w:szCs w:val="20"/>
                <w:color w:val="auto"/>
              </w:rPr>
            </w:pPr>
            <w:r>
              <w:rPr>
                <w:rFonts w:ascii="Arial" w:cs="Arial" w:eastAsia="Arial" w:hAnsi="Arial"/>
                <w:sz w:val="18"/>
                <w:szCs w:val="18"/>
                <w:i w:val="1"/>
                <w:iCs w:val="1"/>
                <w:color w:val="auto"/>
                <w:w w:val="99"/>
              </w:rPr>
              <w:t>bp</w:t>
            </w:r>
          </w:p>
        </w:tc>
      </w:tr>
    </w:tbl>
    <w:p>
      <w:pPr>
        <w:spacing w:after="0" w:line="180"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6"/>
          <w:szCs w:val="16"/>
          <w:color w:val="auto"/>
        </w:rPr>
        <w:t>NM</w:t>
        <w:tab/>
        <w:t>Not Meaningful</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color w:val="auto"/>
        </w:rPr>
        <w:t>The table below provides a reconciliation of total and each segment's adjusted EBITDA to Consolidated EBITDA and net income:</w:t>
      </w:r>
    </w:p>
    <w:p>
      <w:pPr>
        <w:spacing w:after="0" w:line="134"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19685</wp:posOffset>
            </wp:positionV>
            <wp:extent cx="70935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28"/>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Net Income margin</w:t>
            </w: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w:t>
            </w:r>
          </w:p>
        </w:tc>
        <w:tc>
          <w:tcPr>
            <w:tcW w:w="0" w:type="dxa"/>
            <w:vAlign w:val="bottom"/>
          </w:tcPr>
          <w:p>
            <w:pPr>
              <w:spacing w:after="0"/>
              <w:rPr>
                <w:sz w:val="1"/>
                <w:szCs w:val="1"/>
                <w:color w:val="auto"/>
              </w:rPr>
            </w:pPr>
          </w:p>
        </w:tc>
      </w:tr>
      <w:tr>
        <w:trPr>
          <w:trHeight w:val="228"/>
        </w:trPr>
        <w:tc>
          <w:tcPr>
            <w:tcW w:w="274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 net</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Income tax expense</w:t>
            </w:r>
          </w:p>
        </w:tc>
        <w:tc>
          <w:tcPr>
            <w:tcW w:w="20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60" w:type="dxa"/>
            <w:vAlign w:val="bottom"/>
          </w:tcPr>
          <w:p>
            <w:pPr>
              <w:jc w:val="right"/>
              <w:ind w:right="690"/>
              <w:spacing w:after="0" w:line="175" w:lineRule="exact"/>
              <w:rPr>
                <w:sz w:val="20"/>
                <w:szCs w:val="20"/>
                <w:color w:val="auto"/>
              </w:rPr>
            </w:pPr>
            <w:r>
              <w:rPr>
                <w:rFonts w:ascii="Arial" w:cs="Arial" w:eastAsia="Arial" w:hAnsi="Arial"/>
                <w:sz w:val="18"/>
                <w:szCs w:val="18"/>
                <w:b w:val="1"/>
                <w:bCs w:val="1"/>
                <w:color w:val="auto"/>
              </w:rPr>
              <w:t>Water</w:t>
            </w:r>
          </w:p>
        </w:tc>
        <w:tc>
          <w:tcPr>
            <w:tcW w:w="1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Applied Water</w:t>
            </w:r>
          </w:p>
        </w:tc>
        <w:tc>
          <w:tcPr>
            <w:tcW w:w="2040" w:type="dxa"/>
            <w:vAlign w:val="bottom"/>
          </w:tcPr>
          <w:p>
            <w:pPr>
              <w:jc w:val="right"/>
              <w:ind w:right="310"/>
              <w:spacing w:after="0" w:line="175" w:lineRule="exact"/>
              <w:rPr>
                <w:sz w:val="20"/>
                <w:szCs w:val="20"/>
                <w:color w:val="auto"/>
              </w:rPr>
            </w:pPr>
            <w:r>
              <w:rPr>
                <w:rFonts w:ascii="Arial" w:cs="Arial" w:eastAsia="Arial" w:hAnsi="Arial"/>
                <w:sz w:val="18"/>
                <w:szCs w:val="18"/>
                <w:b w:val="1"/>
                <w:bCs w:val="1"/>
                <w:color w:val="auto"/>
              </w:rPr>
              <w:t>Measurement &amp;</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w:t>
            </w:r>
          </w:p>
        </w:tc>
        <w:tc>
          <w:tcPr>
            <w:tcW w:w="15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2060" w:type="dxa"/>
            <w:vAlign w:val="bottom"/>
          </w:tcPr>
          <w:p>
            <w:pPr>
              <w:jc w:val="right"/>
              <w:ind w:right="430"/>
              <w:spacing w:after="0"/>
              <w:rPr>
                <w:sz w:val="20"/>
                <w:szCs w:val="20"/>
                <w:color w:val="auto"/>
              </w:rPr>
            </w:pPr>
            <w:r>
              <w:rPr>
                <w:rFonts w:ascii="Arial" w:cs="Arial" w:eastAsia="Arial" w:hAnsi="Arial"/>
                <w:sz w:val="18"/>
                <w:szCs w:val="18"/>
                <w:b w:val="1"/>
                <w:bCs w:val="1"/>
                <w:color w:val="auto"/>
              </w:rPr>
              <w:t>Infrastructure</w:t>
            </w:r>
          </w:p>
        </w:tc>
        <w:tc>
          <w:tcPr>
            <w:tcW w:w="1760" w:type="dxa"/>
            <w:vAlign w:val="bottom"/>
            <w:vMerge w:val="continue"/>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Control Solutions</w:t>
            </w:r>
          </w:p>
        </w:tc>
        <w:tc>
          <w:tcPr>
            <w:tcW w:w="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$433</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$261</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0" w:type="dxa"/>
            <w:vAlign w:val="bottom"/>
          </w:tcPr>
          <w:p>
            <w:pPr>
              <w:spacing w:after="0"/>
              <w:rPr>
                <w:sz w:val="1"/>
                <w:szCs w:val="1"/>
                <w:color w:val="auto"/>
              </w:rPr>
            </w:pPr>
          </w:p>
        </w:tc>
      </w:tr>
      <w:tr>
        <w:trPr>
          <w:trHeight w:val="228"/>
        </w:trPr>
        <w:tc>
          <w:tcPr>
            <w:tcW w:w="2740" w:type="dxa"/>
            <w:vAlign w:val="bottom"/>
          </w:tcPr>
          <w:p>
            <w:pPr>
              <w:ind w:left="300"/>
              <w:spacing w:after="0"/>
              <w:rPr>
                <w:sz w:val="20"/>
                <w:szCs w:val="20"/>
                <w:color w:val="auto"/>
              </w:rPr>
            </w:pPr>
            <w:r>
              <w:rPr>
                <w:rFonts w:ascii="Arial" w:cs="Arial" w:eastAsia="Arial" w:hAnsi="Arial"/>
                <w:sz w:val="18"/>
                <w:szCs w:val="18"/>
                <w:color w:val="auto"/>
              </w:rPr>
              <w:t>Restructuring and realignment</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2740" w:type="dxa"/>
            <w:vAlign w:val="bottom"/>
          </w:tcPr>
          <w:p>
            <w:pPr>
              <w:ind w:left="300"/>
              <w:spacing w:after="0"/>
              <w:rPr>
                <w:sz w:val="20"/>
                <w:szCs w:val="20"/>
                <w:color w:val="auto"/>
              </w:rPr>
            </w:pPr>
            <w:r>
              <w:rPr>
                <w:rFonts w:ascii="Arial" w:cs="Arial" w:eastAsia="Arial" w:hAnsi="Arial"/>
                <w:sz w:val="18"/>
                <w:szCs w:val="18"/>
                <w:color w:val="auto"/>
              </w:rPr>
              <w:t>Special charges</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7"/>
        </w:trPr>
        <w:tc>
          <w:tcPr>
            <w:tcW w:w="2740" w:type="dxa"/>
            <w:vAlign w:val="bottom"/>
            <w:shd w:val="clear" w:color="auto" w:fill="CCEEFF"/>
          </w:tcPr>
          <w:p>
            <w:pPr>
              <w:ind w:left="300"/>
              <w:spacing w:after="0" w:line="188" w:lineRule="exact"/>
              <w:rPr>
                <w:sz w:val="20"/>
                <w:szCs w:val="20"/>
                <w:color w:val="auto"/>
              </w:rPr>
            </w:pPr>
            <w:r>
              <w:rPr>
                <w:rFonts w:ascii="Arial" w:cs="Arial" w:eastAsia="Arial" w:hAnsi="Arial"/>
                <w:sz w:val="18"/>
                <w:szCs w:val="18"/>
                <w:color w:val="auto"/>
              </w:rPr>
              <w:t>(Gain) loss from sale of</w:t>
            </w:r>
          </w:p>
        </w:tc>
        <w:tc>
          <w:tcPr>
            <w:tcW w:w="20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2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w:t>
            </w: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2060" w:type="dxa"/>
            <w:vAlign w:val="bottom"/>
          </w:tcPr>
          <w:p>
            <w:pPr>
              <w:jc w:val="right"/>
              <w:ind w:right="90"/>
              <w:spacing w:after="0"/>
              <w:rPr>
                <w:sz w:val="20"/>
                <w:szCs w:val="20"/>
                <w:color w:val="auto"/>
              </w:rPr>
            </w:pPr>
            <w:r>
              <w:rPr>
                <w:rFonts w:ascii="Arial" w:cs="Arial" w:eastAsia="Arial" w:hAnsi="Arial"/>
                <w:sz w:val="18"/>
                <w:szCs w:val="18"/>
                <w:b w:val="1"/>
                <w:bCs w:val="1"/>
                <w:color w:val="auto"/>
              </w:rPr>
              <w:t>$447</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color w:val="auto"/>
              </w:rPr>
              <w:t>$271</w:t>
            </w: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$164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$890</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 margin</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19.9  %</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16.8  %</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12.3  %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102235</wp:posOffset>
            </wp:positionV>
            <wp:extent cx="7093585" cy="136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3585" cy="13652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0" w:lineRule="exact"/>
        <w:rPr>
          <w:sz w:val="20"/>
          <w:szCs w:val="20"/>
          <w:color w:val="auto"/>
        </w:rPr>
      </w:pPr>
    </w:p>
    <w:p>
      <w:pPr>
        <w:spacing w:after="0" w:line="384"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19685</wp:posOffset>
            </wp:positionV>
            <wp:extent cx="70935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28"/>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Net Income margin</w:t>
            </w: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w:t>
            </w:r>
          </w:p>
        </w:tc>
        <w:tc>
          <w:tcPr>
            <w:tcW w:w="0" w:type="dxa"/>
            <w:vAlign w:val="bottom"/>
          </w:tcPr>
          <w:p>
            <w:pPr>
              <w:spacing w:after="0"/>
              <w:rPr>
                <w:sz w:val="1"/>
                <w:szCs w:val="1"/>
                <w:color w:val="auto"/>
              </w:rPr>
            </w:pPr>
          </w:p>
        </w:tc>
      </w:tr>
      <w:tr>
        <w:trPr>
          <w:trHeight w:val="228"/>
        </w:trPr>
        <w:tc>
          <w:tcPr>
            <w:tcW w:w="274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 net</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Income tax expense</w:t>
            </w:r>
          </w:p>
        </w:tc>
        <w:tc>
          <w:tcPr>
            <w:tcW w:w="20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2060" w:type="dxa"/>
            <w:vAlign w:val="bottom"/>
          </w:tcPr>
          <w:p>
            <w:pPr>
              <w:jc w:val="right"/>
              <w:ind w:right="690"/>
              <w:spacing w:after="0" w:line="175" w:lineRule="exact"/>
              <w:rPr>
                <w:sz w:val="20"/>
                <w:szCs w:val="20"/>
                <w:color w:val="auto"/>
              </w:rPr>
            </w:pPr>
            <w:r>
              <w:rPr>
                <w:rFonts w:ascii="Arial" w:cs="Arial" w:eastAsia="Arial" w:hAnsi="Arial"/>
                <w:sz w:val="18"/>
                <w:szCs w:val="18"/>
                <w:b w:val="1"/>
                <w:bCs w:val="1"/>
                <w:color w:val="auto"/>
              </w:rPr>
              <w:t>Water</w:t>
            </w:r>
          </w:p>
        </w:tc>
        <w:tc>
          <w:tcPr>
            <w:tcW w:w="1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Applied Water</w:t>
            </w:r>
          </w:p>
        </w:tc>
        <w:tc>
          <w:tcPr>
            <w:tcW w:w="2040" w:type="dxa"/>
            <w:vAlign w:val="bottom"/>
          </w:tcPr>
          <w:p>
            <w:pPr>
              <w:jc w:val="right"/>
              <w:ind w:right="310"/>
              <w:spacing w:after="0" w:line="175" w:lineRule="exact"/>
              <w:rPr>
                <w:sz w:val="20"/>
                <w:szCs w:val="20"/>
                <w:color w:val="auto"/>
              </w:rPr>
            </w:pPr>
            <w:r>
              <w:rPr>
                <w:rFonts w:ascii="Arial" w:cs="Arial" w:eastAsia="Arial" w:hAnsi="Arial"/>
                <w:sz w:val="18"/>
                <w:szCs w:val="18"/>
                <w:b w:val="1"/>
                <w:bCs w:val="1"/>
                <w:color w:val="auto"/>
              </w:rPr>
              <w:t>Measurement &amp;</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Other*</w:t>
            </w:r>
          </w:p>
        </w:tc>
        <w:tc>
          <w:tcPr>
            <w:tcW w:w="15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2060" w:type="dxa"/>
            <w:vAlign w:val="bottom"/>
          </w:tcPr>
          <w:p>
            <w:pPr>
              <w:jc w:val="right"/>
              <w:ind w:right="430"/>
              <w:spacing w:after="0"/>
              <w:rPr>
                <w:sz w:val="20"/>
                <w:szCs w:val="20"/>
                <w:color w:val="auto"/>
              </w:rPr>
            </w:pPr>
            <w:r>
              <w:rPr>
                <w:rFonts w:ascii="Arial" w:cs="Arial" w:eastAsia="Arial" w:hAnsi="Arial"/>
                <w:sz w:val="18"/>
                <w:szCs w:val="18"/>
                <w:b w:val="1"/>
                <w:bCs w:val="1"/>
                <w:color w:val="auto"/>
              </w:rPr>
              <w:t>Infrastructure</w:t>
            </w:r>
          </w:p>
        </w:tc>
        <w:tc>
          <w:tcPr>
            <w:tcW w:w="1760" w:type="dxa"/>
            <w:vAlign w:val="bottom"/>
            <w:vMerge w:val="continue"/>
          </w:tcPr>
          <w:p>
            <w:pPr>
              <w:spacing w:after="0"/>
              <w:rPr>
                <w:sz w:val="19"/>
                <w:szCs w:val="19"/>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Control Solutions</w:t>
            </w:r>
          </w:p>
        </w:tc>
        <w:tc>
          <w:tcPr>
            <w:tcW w:w="7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$365</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$228</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$606</w:t>
            </w:r>
          </w:p>
        </w:tc>
        <w:tc>
          <w:tcPr>
            <w:tcW w:w="0" w:type="dxa"/>
            <w:vAlign w:val="bottom"/>
          </w:tcPr>
          <w:p>
            <w:pPr>
              <w:spacing w:after="0"/>
              <w:rPr>
                <w:sz w:val="1"/>
                <w:szCs w:val="1"/>
                <w:color w:val="auto"/>
              </w:rPr>
            </w:pPr>
          </w:p>
        </w:tc>
      </w:tr>
      <w:tr>
        <w:trPr>
          <w:trHeight w:val="228"/>
        </w:trPr>
        <w:tc>
          <w:tcPr>
            <w:tcW w:w="2740" w:type="dxa"/>
            <w:vAlign w:val="bottom"/>
          </w:tcPr>
          <w:p>
            <w:pPr>
              <w:ind w:left="300"/>
              <w:spacing w:after="0"/>
              <w:rPr>
                <w:sz w:val="20"/>
                <w:szCs w:val="20"/>
                <w:color w:val="auto"/>
              </w:rPr>
            </w:pPr>
            <w:r>
              <w:rPr>
                <w:rFonts w:ascii="Arial" w:cs="Arial" w:eastAsia="Arial" w:hAnsi="Arial"/>
                <w:sz w:val="18"/>
                <w:szCs w:val="18"/>
                <w:color w:val="auto"/>
              </w:rPr>
              <w:t>Restructuring and realignment</w:t>
            </w: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5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27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Special charges</w:t>
            </w:r>
          </w:p>
        </w:tc>
        <w:tc>
          <w:tcPr>
            <w:tcW w:w="2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20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$395</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$240</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28"/>
        </w:trPr>
        <w:tc>
          <w:tcPr>
            <w:tcW w:w="2740" w:type="dxa"/>
            <w:vAlign w:val="bottom"/>
          </w:tcPr>
          <w:p>
            <w:pPr>
              <w:ind w:left="180"/>
              <w:spacing w:after="0"/>
              <w:rPr>
                <w:sz w:val="20"/>
                <w:szCs w:val="20"/>
                <w:color w:val="auto"/>
              </w:rPr>
            </w:pPr>
            <w:r>
              <w:rPr>
                <w:rFonts w:ascii="Arial" w:cs="Arial" w:eastAsia="Arial" w:hAnsi="Arial"/>
                <w:sz w:val="18"/>
                <w:szCs w:val="18"/>
                <w:b w:val="1"/>
                <w:bCs w:val="1"/>
                <w:color w:val="auto"/>
              </w:rPr>
              <w:t>Adjusted EBITDA margin</w:t>
            </w:r>
          </w:p>
        </w:tc>
        <w:tc>
          <w:tcPr>
            <w:tcW w:w="20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19.0  %</w:t>
            </w:r>
          </w:p>
        </w:tc>
        <w:tc>
          <w:tcPr>
            <w:tcW w:w="176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16.7  %</w:t>
            </w: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11.7  %</w:t>
            </w:r>
          </w:p>
        </w:tc>
        <w:tc>
          <w:tcPr>
            <w:tcW w:w="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15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16.3</w:t>
            </w:r>
          </w:p>
        </w:tc>
        <w:tc>
          <w:tcPr>
            <w:tcW w:w="3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918" w:right="239" w:bottom="1440" w:gutter="0" w:footer="0" w:header="0"/>
        </w:sectPr>
      </w:pPr>
    </w:p>
    <w:bookmarkStart w:id="46" w:name="page47"/>
    <w:bookmarkEnd w:id="46"/>
    <w:p>
      <w:pPr>
        <w:jc w:val="center"/>
        <w:ind w:left="480"/>
        <w:spacing w:after="0"/>
        <w:rPr>
          <w:sz w:val="20"/>
          <w:szCs w:val="20"/>
          <w:color w:val="auto"/>
        </w:rPr>
      </w:pPr>
      <w:r>
        <w:rPr>
          <w:rFonts w:ascii="Arial" w:cs="Arial" w:eastAsia="Arial" w:hAnsi="Arial"/>
          <w:sz w:val="18"/>
          <w:szCs w:val="18"/>
          <w:b w:val="1"/>
          <w:bCs w:val="1"/>
          <w:color w:val="auto"/>
        </w:rPr>
        <w:t>2021 versus 2020</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35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Water Infrastructure</w:t>
            </w:r>
          </w:p>
        </w:tc>
        <w:tc>
          <w:tcPr>
            <w:tcW w:w="14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Applied Water</w:t>
            </w:r>
          </w:p>
        </w:tc>
        <w:tc>
          <w:tcPr>
            <w:tcW w:w="2080" w:type="dxa"/>
            <w:vAlign w:val="bottom"/>
            <w:tcBorders>
              <w:top w:val="single" w:sz="8" w:color="auto"/>
            </w:tcBorders>
          </w:tcPr>
          <w:p>
            <w:pPr>
              <w:jc w:val="right"/>
              <w:ind w:right="370"/>
              <w:spacing w:after="0" w:line="168" w:lineRule="exact"/>
              <w:rPr>
                <w:sz w:val="20"/>
                <w:szCs w:val="20"/>
                <w:color w:val="auto"/>
              </w:rPr>
            </w:pPr>
            <w:r>
              <w:rPr>
                <w:rFonts w:ascii="Arial" w:cs="Arial" w:eastAsia="Arial" w:hAnsi="Arial"/>
                <w:sz w:val="18"/>
                <w:szCs w:val="18"/>
                <w:b w:val="1"/>
                <w:bCs w:val="1"/>
                <w:color w:val="auto"/>
              </w:rPr>
              <w:t>Measurement &amp;</w:t>
            </w:r>
          </w:p>
        </w:tc>
        <w:tc>
          <w:tcPr>
            <w:tcW w:w="124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9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Control Solutions</w:t>
            </w:r>
          </w:p>
        </w:tc>
        <w:tc>
          <w:tcPr>
            <w:tcW w:w="1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28"/>
        </w:trPr>
        <w:tc>
          <w:tcPr>
            <w:tcW w:w="3500" w:type="dxa"/>
            <w:vAlign w:val="bottom"/>
          </w:tcPr>
          <w:p>
            <w:pPr>
              <w:ind w:left="180"/>
              <w:spacing w:after="0"/>
              <w:rPr>
                <w:sz w:val="20"/>
                <w:szCs w:val="20"/>
                <w:color w:val="auto"/>
              </w:rPr>
            </w:pPr>
            <w:r>
              <w:rPr>
                <w:rFonts w:ascii="Arial" w:cs="Arial" w:eastAsia="Arial" w:hAnsi="Arial"/>
                <w:sz w:val="18"/>
                <w:szCs w:val="18"/>
                <w:b w:val="1"/>
                <w:bCs w:val="1"/>
                <w:color w:val="auto"/>
              </w:rPr>
              <w:t>Adjusted EBITDA margin</w:t>
            </w:r>
          </w:p>
        </w:tc>
        <w:tc>
          <w:tcPr>
            <w:tcW w:w="20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0.9  %</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0.1  %</w:t>
            </w:r>
          </w:p>
        </w:tc>
        <w:tc>
          <w:tcPr>
            <w:tcW w:w="208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rPr>
              <w:t>0.6  %</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NM</w:t>
            </w:r>
          </w:p>
        </w:tc>
        <w:tc>
          <w:tcPr>
            <w:tcW w:w="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0.8  %</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Restructuring and realignment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8"/>
        </w:trPr>
        <w:tc>
          <w:tcPr>
            <w:tcW w:w="3500" w:type="dxa"/>
            <w:vAlign w:val="bottom"/>
          </w:tcPr>
          <w:p>
            <w:pPr>
              <w:ind w:left="300"/>
              <w:spacing w:after="0"/>
              <w:rPr>
                <w:sz w:val="20"/>
                <w:szCs w:val="20"/>
                <w:color w:val="auto"/>
              </w:rPr>
            </w:pPr>
            <w:r>
              <w:rPr>
                <w:rFonts w:ascii="Arial" w:cs="Arial" w:eastAsia="Arial" w:hAnsi="Arial"/>
                <w:sz w:val="18"/>
                <w:szCs w:val="18"/>
                <w:color w:val="auto"/>
              </w:rPr>
              <w:t>Share-based compensation</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Special charges</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8"/>
        </w:trPr>
        <w:tc>
          <w:tcPr>
            <w:tcW w:w="35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(Gain) loss from sale of business</w:t>
            </w:r>
          </w:p>
        </w:tc>
        <w:tc>
          <w:tcPr>
            <w:tcW w:w="2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$120</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102235</wp:posOffset>
            </wp:positionV>
            <wp:extent cx="7093585" cy="13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3585" cy="13652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Operating income for our Water Infrastructure segment increased $69 million, or 21.7%, during 2021 as compared to the prior year, with operating margin also increasing from 15.3% to 17.2%. Operating margin benefited from a decrease in restructuring and realignment costs of $16 million in 2021. Excluding these restructuring and realignment costs, adjusted operating income increased $53 million, or 15.3%, with adjusted operating margin increasing from 16.6% to 17.8%. The increase in adjusted operating margin during the year was primarily due to cost reductions from our productivity, restructuring and other cost saving initiatives and favorable volume. These impacts were partially offset by cost inflation and increased spending on strategic investments.</w:t>
      </w:r>
    </w:p>
    <w:p>
      <w:pPr>
        <w:spacing w:after="0" w:line="9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Adjusted EBITDA was $447 million (Adjusted EBITDA margin of 19.9%) during 2021, an increase of $52 million, or 13%, when compared to Adjusted EBITDA of $395 million (Adjusted EBITDA margin of 19.0%) during the prior year. The increase in Adjusted EBITDA margin was primarily due to the same factors impacting the increase in adjusted operating margin; however, Adjusted EBITDA margin did not benefit from the year over year reduction in depreciation and amortization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Operating income for our Applied Water segment increased $35 million, or 17.1%, during 2021 as compared to the prior year, with operating margin also increasing from 14.3% to 14.9%. Operating margin benefited from a decrease in restructuring and realignment costs of $2 million in 2021, partially offset by an increase in special charges of $1 million. Excluding these items, adjusted operating income increased $34 million, or 15.9%, with adjusted operating margin increasing from 14.9% to 15.4%. The increase in adjusted operating margin during the year was primarily due to cost reductions from our productivity, restructuring and other cost saving initiatives, favorable volume, and price realization. These impacts were partially offset by cost inflation and increased logistics cost, increased spending on strategic investments, increased inventory management costs.</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Adjusted EBITDA was $271 million (Adjusted EBITDA margin of 16.8%) during 2021, an increase of $31 million, or 13%, when compared to Adjusted EBITDA of $240 million (Adjusted EBITDA margin of 16.7%) during the prior year. The increase in Adjusted EBITDA margin was primarily due to the same factors impacting the increase in adjusted operating margin; however, Adjusted EBITDA margin did not benefit from the year over year reduction in depreciation and amortization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Operating income for our Measurement &amp; Control Solutions segment increased $118 million, or 111.3%, during 2021 as compared to the prior year, resulting in an operating income of $12 million, with operating margin increasing from (7.8)% to 0.9%. Operating margin benefited from a decrease in special charges of $79 million, and a decrease in restructuring and realignment costs of $37 million in 2021. Excluding these items, adjusted operating income increased $2 million, or 15.4%, with adjusted operating margin increasing from 1.0% to 1.1%. The increase in adjusted operating margin during the year was driven by cost reductions from our productivity, restructuring and other cost saving initiatives and improved quality management costs, primarily due to a specific warranty charge recorded during the prior year that did not recur related to a firmware issue that was identified and addressed timely. These impacts were partially offset by cost inflation, unfavorable volume and increased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936" w:right="239" w:bottom="1440" w:gutter="0" w:footer="0" w:header="0"/>
        </w:sectPr>
      </w:pPr>
    </w:p>
    <w:bookmarkStart w:id="47" w:name="page48"/>
    <w:bookmarkEnd w:id="47"/>
    <w:p>
      <w:pPr>
        <w:ind w:right="100"/>
        <w:spacing w:after="0" w:line="252" w:lineRule="auto"/>
        <w:rPr>
          <w:sz w:val="20"/>
          <w:szCs w:val="20"/>
          <w:color w:val="auto"/>
        </w:rPr>
      </w:pPr>
      <w:r>
        <w:rPr>
          <w:rFonts w:ascii="Arial" w:cs="Arial" w:eastAsia="Arial" w:hAnsi="Arial"/>
          <w:sz w:val="18"/>
          <w:szCs w:val="18"/>
          <w:color w:val="auto"/>
        </w:rPr>
        <w:t>Adjusted EBITDA was $164 million (Adjusted EBITDA margin of 12.3%) during 2021, an increase of $5 million, or 3%, when compared to Adjusted EBITDA of $159 million (Adjusted EBITDA margin of 11.7%) during the prior year. The increase in Adjusted EBITDA margin was due to the same factors as those impacting the increase in adjusted operating margin; however year over year increases in depreciation and amortization did not negatively impact Adjusted EBITDA margin.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loss for corporate and other increased $4 million, or 8.0%, compared to the prior year. The increase in cost is primarily driven by increased spending on strategic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7" w:lineRule="exact"/>
        <w:rPr>
          <w:sz w:val="20"/>
          <w:szCs w:val="20"/>
          <w:color w:val="auto"/>
        </w:rPr>
      </w:pPr>
    </w:p>
    <w:p>
      <w:pPr>
        <w:jc w:val="both"/>
        <w:ind w:right="40"/>
        <w:spacing w:after="0" w:line="252" w:lineRule="auto"/>
        <w:rPr>
          <w:sz w:val="20"/>
          <w:szCs w:val="20"/>
          <w:color w:val="auto"/>
        </w:rPr>
      </w:pPr>
      <w:r>
        <w:rPr>
          <w:rFonts w:ascii="Arial" w:cs="Arial" w:eastAsia="Arial" w:hAnsi="Arial"/>
          <w:sz w:val="18"/>
          <w:szCs w:val="18"/>
          <w:color w:val="auto"/>
        </w:rPr>
        <w:t>Interest expense was $76 million and $77 million for 2021 and 2020, respectively. The decrease in interest expense reflects the settlement of our Senior Notes due 2021 and lower short term borrowings during 2021, partially offset by a full year of interest expense associated with our Green Bond issuance during the second quarter of 2020 (as defined in "Funding and Liquidity Strategy"). See Note 15, "Credit Facilities and Debt", of our consolidated financial statements for a description of our credit facilities and long-term debt and related interest.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income tax provision for 2021 was $84 million at an effective tax rate of 16.3% as compared to $31 million at an effective tax rate of 10.9% in 2020. The 2021 effective tax rate differs from that of 2020 primarily due to the tax benefits recorded for releases of uncertain tax positions in 2020. In addition, in 2021 the Company recorded a lower tax benefit for excess stock compensation deductions.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2"/>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Change</w:t>
            </w:r>
          </w:p>
        </w:tc>
      </w:tr>
      <w:tr>
        <w:trPr>
          <w:trHeight w:val="222"/>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8"/>
        </w:trPr>
        <w:tc>
          <w:tcPr>
            <w:tcW w:w="61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28"/>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2"/>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80" w:hanging="311"/>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2021 impact is primarily due to weakening of the Euro, and Chilean Peso against the U.S. Dollar.</w:t>
      </w:r>
    </w:p>
    <w:p>
      <w:pPr>
        <w:spacing w:after="0" w:line="9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Sources and Uses of Liquidity</w:t>
      </w:r>
    </w:p>
    <w:p>
      <w:pPr>
        <w:spacing w:after="0" w:line="11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Operating Activities</w:t>
      </w:r>
    </w:p>
    <w:p>
      <w:pPr>
        <w:spacing w:after="0" w:line="13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During 2021, net cash provided by operating activities was $538 million, compared to $824 million in 2020. The $286 million year-over-year decrease was primarily driven by higher working capital levels, impacted by increased safety stock to mitigate supply chain volatility. Also contributing to the decrease were higher interest payments, and increased cash used for income, payroll and other taxes, partially from the delayed timing of payments in the prior year related to COVID-19 tax relief programs. Increased cash earnings partially offset these items.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7"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Cash used in investing activities was $183 million in 2021, compared to $169 million in 2020. This increase in cash used of $14 million was mainly driven by higher spending on capital expenditures compared to the prior year, partially offset by proceeds received from the sales of businesses in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Cash used in financing activities was $855 million in 2021, compared to cash generated from financing activities of $473 million in 2020. This change was primarily driven by the repayment of Senior Notes in 2021 and proceeds received from the issuance of our Green Bond (as defined in "Funding and Liquidity Strategy") and other short-term financings in 2020 that did not reoccur in 2021. Partially offsetting these items was the repayment of short-term debt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both 2021 and 2020, we elected to utilize certain federal, state and foreign COVID-19 tax relief programs related to timing of tax payments, deductions and credits to further manage our liquidity.</w:t>
      </w:r>
    </w:p>
    <w:p>
      <w:pPr>
        <w:spacing w:after="0" w:line="9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Historically, we have generated operating cash flow sufficient to fund our primary cash needs. Xylem issued Senior Notes of $1 billion in aggregate principal ("Green Bond") on June 26, 2020 to further manage our liquidity. The primary long-term intention of incurring this debt is to fund green projects across our business segments, as well as manage liquidity risk and increase flexibility, as the duration of the economic effects of the pandemic are uncertain. See Note 15, "Credit Facilities and Debt", of our consolidated financial statements for a description of our credit facilities and long-term debt. Xylem's liquidity position has continued to evolve favorably during 2021, and we will continue to monitor the economic effects of the COVID-19 pandemic and its impact on the Company's future operating cash flows going forward.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15, "Credit Facilities and Debt", of our consolidated financial statements for a description of limitations on obtaining additional funding.</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As of December 31, 2021,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them to impact our ability to meet future liquidity needs or continue to comply with debt covenants. To provide for continued access to the full capacity of our credit facilities going forward, Xylem entered into Amendment No. 1 to the 2019 Credit Facility (as defined in Note 15, "Credit Facilities and Debt") on June 22, 2020 which modified the covenant calculation methodology through the quarter ending September 30, 2021 and restricted stock repurchases until March 31, 2021, except for shares of common stock in an amount not to exceed the number of shares issued after the date of the Amendment, subject to customary exceptions. See Note 15, "Credit Facilities and Debt", of our consolidated financial statements for a description of our credit facilities and long-term debt.</w:t>
      </w:r>
    </w:p>
    <w:p>
      <w:pPr>
        <w:spacing w:after="0" w:line="9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12 months. In addition, we believe our existing committed credit facilities and access to the public debt markets would provide further liquidity if required. Currently, we have available liquidity of approximately $2.1 billion, consisting of $1.3 billion of cash and $800 million of available credit facilities as disclosed in Note 15, "Credit Facilities and Debt", of our consolidated financial statements. Our debt repayment obligations in 2021 consisted of $600 million in Senior Notes which we paid out of cash. Our next long-term debt maturity is March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these items are described in our risk factor disclosures referenced under “Item 1A. Risk Factors".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3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obligations and related interest payments, lease obligations and unconditional purchase obligations. Refer Note 15, “Credit Facilities and Debt” and Note 11, “Leases” of the consolidated financial statements for related to these matters.</w:t>
      </w:r>
    </w:p>
    <w:p>
      <w:pPr>
        <w:spacing w:after="0" w:line="18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Company has future unconditional purchase commitments which are legally binding and that specify all significant terms including price and/or quantity. Total future commitments within the next twelve months for these obligations is $326 million, excluding contracts that can be canceled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15, "Credit Facilities and Debt" of our consolidated financial statements for a description of our credit facilities and long-term debt.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3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For 2021 and 2020, we generated 56% and 53% of our revenue from non-U.S. operations,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December 31, 2021, we have provided a deferred tax liability of $4 million for net foreign withholding taxes and state income taxes on $591 million of earnings expected to be repatriated to the U.S. parent as deemed necessary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a party to certain off-balance sheet arrangements including certain guarantees. For discussion of these arrangements, see Note 20, “Commitments and Contingencies” of the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the consolidated financial statements. Accounting estimates and assumptions discussed in this section are those that we consider most critical to an understanding of our financial statements because they are inherently uncertain, involve significant judgments, include areas where different estimates reasonably could have been used, and changes in the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5"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Xylem recognizes revenue in a manner that depicts the transfer of promised goods and services to customers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the risks and rewards, possession, and title have transferred to the customer, which usually occurs at the point of delivery.</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0" w:name="page51"/>
    <w:bookmarkEnd w:id="50"/>
    <w:p>
      <w:pPr>
        <w:ind w:right="60"/>
        <w:spacing w:after="0" w:line="25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98"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be entitled to.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8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82"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216"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in a multitude of jurisdictions across our global operations. We recognize potential liabilities and record tax liabilities for anticipated tax audit issues in the U.S. and other tax jurisdictions based on our estimate of whether, and the extent to which, additional taxes will be due. Furthermore, we recognize the tax benefit from an uncertain tax position only if based on the technical merits of the position it is more likely than not that the tax position will be sustained on examination by the taxing authorities or upon completion of the litigation process. The tax benefits recognized in the financial statements from such a position are measured based on the largest benefit that has a greater than 50% likelihood of being realized upon ultimate resolution.</w:t>
      </w:r>
    </w:p>
    <w:p>
      <w:pPr>
        <w:spacing w:after="0" w:line="21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purchase method of accounting. All of the assets acquired, liabilities assumed,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contractual contingencies and contingent consideration is recorded at fair value as of the acquisition date. The excess of the purchase price over the estimated fair values of the net tangible and intangible assets acquired is recorded as goodwill. The application of the purchase method of accounting for business combinations requires management to make significant estimates and assumptions in the determination of the fair value of assets acquired and liabilities assumed, in order to properly allocate purchase price consideration between assets that are depreciated and amortized from goodwill. These assumptions and estimates include a market participant’s use of the asset and the appropriate discount rates for a market participant. Our estimates are based on historical experience, information obtained from the management of the acquired companies and, when appropriate, includes assistance from independent third-party appraisal firms. Significant assumptions and estimates include, but are not limited to, the cash flows that an asset is expected to generate in the future, the cost to build/recreate certain technology, the appropriate weighted-average cost of capital, and the cost savings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1" w:name="page52"/>
    <w:bookmarkEnd w:id="51"/>
    <w:p>
      <w:pPr>
        <w:ind w:right="40"/>
        <w:spacing w:after="0" w:line="259" w:lineRule="auto"/>
        <w:rPr>
          <w:sz w:val="20"/>
          <w:szCs w:val="20"/>
          <w:color w:val="auto"/>
        </w:rPr>
      </w:pPr>
      <w:r>
        <w:rPr>
          <w:rFonts w:ascii="Arial" w:cs="Arial" w:eastAsia="Arial" w:hAnsi="Arial"/>
          <w:sz w:val="18"/>
          <w:szCs w:val="18"/>
          <w:color w:val="auto"/>
        </w:rPr>
        <w:t>expected to be derived from acquiring an asset. These estimates are inherently uncertain and unpredictable. In addition, unanticipated events and circumstances may occur which may affect the accuracy or validity of such estimates.</w:t>
      </w:r>
    </w:p>
    <w:p>
      <w:pPr>
        <w:spacing w:after="0" w:line="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9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identified in Note 22, “Segment and Geographic Data,” of the consolidated financial statements, or one level below. The fair value of our reporting units and indefinite-lived intangible assets is based on estimates and assumptions that are believed to be reasonable. Significant changes to these estimates and assumptions could adversely impact our conclusions. Actual future results may differ from those estimates.</w:t>
      </w:r>
    </w:p>
    <w:p>
      <w:pPr>
        <w:spacing w:after="0" w:line="1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third quarter of 2020, management updated forecasts of future cash flows for the AIA businesses, which reflected significant negative volume impacts from the COVID-19 pandemic, primarily on our assessment services business. Our ongoing investment in the AIA businesses also continues to impact near 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$58 million goodwill impairment charge. As of December 31, 2020, the remaining goodwill balance in our AIA reporting unit after recording the goodwill impairment charge was $113 million.</w:t>
      </w:r>
    </w:p>
    <w:p>
      <w:pPr>
        <w:spacing w:after="0" w:line="9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Also, during the third quarter of 2020, due to the factors discussed above, we assessed whether the carrying amounts of the AIA reporting unit’s long-lived assets may not be recoverable and therefore impaired. Our assessment resulted in an impairment charge of $11 million, primarily related to software and proprietary technology. The charge was calculated using an income approach.</w:t>
      </w:r>
    </w:p>
    <w:p>
      <w:pPr>
        <w:spacing w:after="0" w:line="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risks and potential impacts of COVID-19 on the fair value of our assets are included in our risk factor disclosures referenced under “Item 1A. Risk Factors".</w:t>
      </w:r>
    </w:p>
    <w:p>
      <w:pPr>
        <w:spacing w:after="0" w:line="77"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During the fourth quarter of 2021, we performed our annual impairment assessment and determined that the estimated fair values of our goodwill reporting units were substantially in excess of each of their carrying values. However, future goodwill impairment tests could result in a charge to earnings. We will continue to evaluate goodwill on an annual basis as of the beginning of our fourth quarter and whenever events and changes in circumstances require us to do so. We determined that no impairment of the indefinite-lived intangibles existed as of the measurement date in 2021. However, future indefinite-lived intangible impairment tests could result in a charge to earnings. We will continue to evaluate indefinite-lived intangibles on an annual basis as of the beginning of our fourth quarter and whenever events and changes in circumstances indicate there may be a potential impairment.</w:t>
      </w:r>
    </w:p>
    <w:p>
      <w:pPr>
        <w:spacing w:after="0" w:line="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major assumptions primarily relate to discount rates, expected long-term rates of return on plan assets, rate of future compensation increases, mortality, years of service and other factors (some of which are disclosed in Note 16, “Post-retirement Benefit Plans,” of the consolidated financial statements).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average remaining life expectancy.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3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below provides the weighted average assumptions used to estimate our defined benefit pension obligations and costs as of and for the years ended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r>
      <w:tr>
        <w:trPr>
          <w:trHeight w:val="182"/>
        </w:trPr>
        <w:tc>
          <w:tcPr>
            <w:tcW w:w="5000" w:type="dxa"/>
            <w:vAlign w:val="bottom"/>
          </w:tcPr>
          <w:p>
            <w:pPr>
              <w:spacing w:after="0"/>
              <w:rPr>
                <w:sz w:val="15"/>
                <w:szCs w:val="15"/>
                <w:color w:val="auto"/>
              </w:rPr>
            </w:pPr>
          </w:p>
        </w:tc>
        <w:tc>
          <w:tcPr>
            <w:tcW w:w="860" w:type="dxa"/>
            <w:vAlign w:val="bottom"/>
          </w:tcPr>
          <w:p>
            <w:pPr>
              <w:ind w:left="58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rPr>
              <w:t>U.S.</w:t>
            </w:r>
          </w:p>
        </w:tc>
        <w:tc>
          <w:tcPr>
            <w:tcW w:w="110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08"/>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8"/>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3.00 %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1.55 %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28"/>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r>
      <w:tr>
        <w:trPr>
          <w:trHeight w:val="228"/>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28"/>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6.50 %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2.82 %</w:t>
            </w:r>
          </w:p>
        </w:tc>
      </w:tr>
      <w:tr>
        <w:trPr>
          <w:trHeight w:val="228"/>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2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r>
    </w:tbl>
    <w:p>
      <w:pPr>
        <w:spacing w:after="0" w:line="190" w:lineRule="exact"/>
        <w:rPr>
          <w:sz w:val="20"/>
          <w:szCs w:val="20"/>
          <w:color w:val="auto"/>
        </w:rPr>
      </w:pPr>
    </w:p>
    <w:p>
      <w:pPr>
        <w:ind w:left="600" w:right="440" w:hanging="483"/>
        <w:spacing w:after="0" w:line="258"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85"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16, “Post-retirement Benefit Plans,”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53" w:name="page54"/>
    <w:bookmarkEnd w:id="53"/>
    <w:p>
      <w:pPr>
        <w:ind w:right="240"/>
        <w:spacing w:after="0" w:line="289" w:lineRule="auto"/>
        <w:rPr>
          <w:sz w:val="20"/>
          <w:szCs w:val="20"/>
          <w:color w:val="auto"/>
        </w:rPr>
      </w:pPr>
      <w:r>
        <w:rPr>
          <w:rFonts w:ascii="Arial" w:cs="Arial" w:eastAsia="Arial" w:hAnsi="Arial"/>
          <w:sz w:val="17"/>
          <w:szCs w:val="17"/>
          <w:color w:val="auto"/>
        </w:rPr>
        <w:t>Based on the approach described above, the chart below shows weighted average actual returns versus the weighted average expected long-term rates of return for our pension plans that were utilized in the calculation of the net periodic pension cost for each respective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22"/>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10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38"/>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Actual rate of return on plan assets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1.66 %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14.06 %</w:t>
            </w:r>
          </w:p>
        </w:tc>
      </w:tr>
    </w:tbl>
    <w:p>
      <w:pPr>
        <w:spacing w:after="0" w:line="17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 costs for 2022 is estimated at 3.22%. We estimate that every 25 basis point change in the expected return on plan assets impacts the expense by $1 million.</w:t>
      </w:r>
    </w:p>
    <w:p>
      <w:pPr>
        <w:spacing w:after="0" w:line="9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 curve to develop a single-point discount rate matching the plan’s characteristics. Our weighted average discount rate for all pension plans effective January 1, 2022, is 1.71%. We estimate that every 25 basis point change in the discount rate impacts the expense by $1 million.</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2022, our expected rate of future compensation is 2.96% for all pension plans. The estimated impact of a 25 basis point change in the expected rate of future compensation is less than $1 million.</w:t>
      </w:r>
    </w:p>
    <w:p>
      <w:pPr>
        <w:spacing w:after="0" w:line="95" w:lineRule="exact"/>
        <w:rPr>
          <w:sz w:val="20"/>
          <w:szCs w:val="20"/>
          <w:color w:val="auto"/>
        </w:rPr>
      </w:pPr>
    </w:p>
    <w:p>
      <w:pPr>
        <w:ind w:right="420"/>
        <w:spacing w:after="0" w:line="272" w:lineRule="auto"/>
        <w:rPr>
          <w:sz w:val="20"/>
          <w:szCs w:val="20"/>
          <w:color w:val="auto"/>
        </w:rPr>
      </w:pPr>
      <w:r>
        <w:rPr>
          <w:rFonts w:ascii="Arial" w:cs="Arial" w:eastAsia="Arial" w:hAnsi="Arial"/>
          <w:sz w:val="17"/>
          <w:szCs w:val="17"/>
          <w:color w:val="auto"/>
        </w:rPr>
        <w:t>The Company has initiated the process for a full buy-out of its largest defined benefit plan in the UK. Upon completion of the buy-out, expected in 2022, we anticipate a settlement charge of approximately $170 million, primarily consisting of unrecognized actuarial losses.</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$19 million to $27 million during 2022. Approximately $6 million of contributions are expected to be made in the first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$34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3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9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 portion of our pension benefit plan assets portfolio comprises investments in hedge funds which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2021 and 2020 for these assets represented less than 1% of total plan assets in each respective year. Asset values for other positions were generally measured using market observable prices. We estimate that a 5% change in asset values will impact funded status by approximately $31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3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4" w:name="page55"/>
    <w:bookmarkEnd w:id="54"/>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56% of our 2021 revenues were from customers in various locations outside the U.S.</w:t>
      </w:r>
    </w:p>
    <w:p>
      <w:pPr>
        <w:spacing w:after="0" w:line="11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British Pound, Canadian Dollar, Australian Dollar, and Polish Zloty. We estimate that a hypothetical 10% movement in foreign currency exchange rates would not have a material economic impact to Xylem’s financial position and results of operations.</w:t>
      </w:r>
    </w:p>
    <w:p>
      <w:pPr>
        <w:spacing w:after="0" w:line="10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Chinese Yuan, British Pound, Canadian Dollar, Australian Dollar, Swedish Krona, and Indian Rupee.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and the designation of our 2.25% Senior Notes of €500 million aggregate principal amount due March 2023 as a net investment hedge. Accordingly, we estimate that a 10% movement of the U.S. Dollar to various foreign currency exchange rates we translate from, in aggregate would not have a material economic impact on our financial position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As of December 31, 2021, our long-term debt portfolio is primarily comprised of five series of fixed-rate senior notes that total approximately $2.5 billion. The senior notes are not exposed to interest rate risk as the bonds are at a fixed rate until maturity. Based on the current interest rate market we do not anticipate material risk associated with our debt refinancing within the target time frame of maturity.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660" w:type="dxa"/>
            <w:vAlign w:val="bottom"/>
            <w:gridSpan w:val="23"/>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0"/>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80" w:type="dxa"/>
            <w:vAlign w:val="bottom"/>
            <w:gridSpan w:val="14"/>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9"/>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4"/>
                <w:szCs w:val="14"/>
                <w:color w:val="auto"/>
              </w:rPr>
              <w:t>Page</w:t>
            </w:r>
          </w:p>
        </w:tc>
      </w:tr>
      <w:tr>
        <w:trPr>
          <w:trHeight w:val="170"/>
        </w:trPr>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No.</w:t>
            </w:r>
          </w:p>
        </w:tc>
      </w:tr>
      <w:tr>
        <w:trPr>
          <w:trHeight w:val="209"/>
        </w:trPr>
        <w:tc>
          <w:tcPr>
            <w:tcW w:w="10500" w:type="dxa"/>
            <w:vAlign w:val="bottom"/>
            <w:gridSpan w:val="25"/>
          </w:tcPr>
          <w:p>
            <w:pPr>
              <w:ind w:left="20"/>
              <w:spacing w:after="0"/>
              <w:rPr>
                <w:sz w:val="20"/>
                <w:szCs w:val="20"/>
                <w:color w:val="auto"/>
              </w:rPr>
            </w:pPr>
            <w:r>
              <w:rPr>
                <w:rFonts w:ascii="Arial" w:cs="Arial" w:eastAsia="Arial" w:hAnsi="Arial"/>
                <w:sz w:val="18"/>
                <w:szCs w:val="18"/>
                <w:color w:val="auto"/>
              </w:rPr>
              <w:t>Audited Consolidated Financial Statements: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220" w:type="dxa"/>
            <w:vAlign w:val="bottom"/>
          </w:tcPr>
          <w:p>
            <w:pPr>
              <w:spacing w:after="0"/>
              <w:rPr>
                <w:sz w:val="16"/>
                <w:szCs w:val="16"/>
                <w:color w:val="auto"/>
              </w:rPr>
            </w:pPr>
          </w:p>
        </w:tc>
        <w:tc>
          <w:tcPr>
            <w:tcW w:w="10280" w:type="dxa"/>
            <w:vAlign w:val="bottom"/>
            <w:gridSpan w:val="24"/>
          </w:tcPr>
          <w:p>
            <w:pPr>
              <w:spacing w:after="0" w:line="188" w:lineRule="exact"/>
              <w:rPr>
                <w:rFonts w:ascii="Arial" w:cs="Arial" w:eastAsia="Arial" w:hAnsi="Arial"/>
                <w:sz w:val="18"/>
                <w:szCs w:val="18"/>
                <w:color w:val="0000FF"/>
              </w:rPr>
            </w:pPr>
            <w:hyperlink w:anchor="page5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580" w:type="dxa"/>
            <w:vAlign w:val="bottom"/>
            <w:gridSpan w:val="4"/>
          </w:tcPr>
          <w:p>
            <w:pPr>
              <w:jc w:val="right"/>
              <w:ind w:right="20"/>
              <w:spacing w:after="0" w:line="188" w:lineRule="exact"/>
              <w:rPr>
                <w:rFonts w:ascii="Arial" w:cs="Arial" w:eastAsia="Arial" w:hAnsi="Arial"/>
                <w:sz w:val="18"/>
                <w:szCs w:val="18"/>
                <w:color w:val="0000FF"/>
              </w:rPr>
            </w:pPr>
            <w:hyperlink w:anchor="page56">
              <w:r>
                <w:rPr>
                  <w:rFonts w:ascii="Arial" w:cs="Arial" w:eastAsia="Arial" w:hAnsi="Arial"/>
                  <w:sz w:val="18"/>
                  <w:szCs w:val="18"/>
                  <w:color w:val="0000FF"/>
                </w:rPr>
                <w:t>57</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Consolidated Income Statements for the Years Ended December 31, 2021, 2020 and 2019</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59</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8700" w:type="dxa"/>
            <w:vAlign w:val="bottom"/>
            <w:gridSpan w:val="22"/>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Consolidated Statements of Comprehensive Income for the Years Ended December 31, 2021, 2020 and 2019</w:t>
              </w:r>
            </w:hyperlink>
          </w:p>
        </w:tc>
        <w:tc>
          <w:tcPr>
            <w:tcW w:w="15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59">
              <w:r>
                <w:rPr>
                  <w:rFonts w:ascii="Arial" w:cs="Arial" w:eastAsia="Arial" w:hAnsi="Arial"/>
                  <w:sz w:val="18"/>
                  <w:szCs w:val="18"/>
                  <w:color w:val="0000FF"/>
                  <w:w w:val="89"/>
                </w:rPr>
                <w:t>60</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5220" w:type="dxa"/>
            <w:vAlign w:val="bottom"/>
            <w:gridSpan w:val="19"/>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Consolidated Balance Sheets as of December 31, 2021 and 2020</w:t>
              </w:r>
            </w:hyperlink>
          </w:p>
        </w:tc>
        <w:tc>
          <w:tcPr>
            <w:tcW w:w="3480" w:type="dxa"/>
            <w:vAlign w:val="bottom"/>
            <w:gridSpan w:val="3"/>
          </w:tcPr>
          <w:p>
            <w:pPr>
              <w:spacing w:after="0"/>
              <w:rPr>
                <w:sz w:val="18"/>
                <w:szCs w:val="18"/>
                <w:color w:val="auto"/>
              </w:rPr>
            </w:pPr>
          </w:p>
        </w:tc>
        <w:tc>
          <w:tcPr>
            <w:tcW w:w="15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61</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7740" w:type="dxa"/>
            <w:vAlign w:val="bottom"/>
            <w:gridSpan w:val="21"/>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Consolidated Statements of Cash Flows for the Years Ended December 31, 2021, 2020 and 2019</w:t>
              </w:r>
            </w:hyperlink>
          </w:p>
        </w:tc>
        <w:tc>
          <w:tcPr>
            <w:tcW w:w="254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62</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9380" w:type="dxa"/>
            <w:vAlign w:val="bottom"/>
            <w:gridSpan w:val="23"/>
          </w:tcPr>
          <w:p>
            <w:pPr>
              <w:spacing w:after="0"/>
              <w:rPr>
                <w:rFonts w:ascii="Arial" w:cs="Arial" w:eastAsia="Arial" w:hAnsi="Arial"/>
                <w:sz w:val="18"/>
                <w:szCs w:val="18"/>
                <w:color w:val="0000FF"/>
                <w:w w:val="99"/>
              </w:rPr>
            </w:pPr>
            <w:hyperlink w:anchor="page62">
              <w:r>
                <w:rPr>
                  <w:rFonts w:ascii="Arial" w:cs="Arial" w:eastAsia="Arial" w:hAnsi="Arial"/>
                  <w:sz w:val="18"/>
                  <w:szCs w:val="18"/>
                  <w:color w:val="0000FF"/>
                  <w:w w:val="99"/>
                </w:rPr>
                <w:t>Consolidated Statements of Changes in Stockholders’ Equity for the Years Ended December 31, 2021, 2020 and 2019</w:t>
              </w:r>
            </w:hyperlink>
          </w:p>
        </w:tc>
        <w:tc>
          <w:tcPr>
            <w:tcW w:w="9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10500" w:type="dxa"/>
            <w:vAlign w:val="bottom"/>
            <w:gridSpan w:val="25"/>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220" w:type="dxa"/>
            <w:vAlign w:val="bottom"/>
          </w:tcPr>
          <w:p>
            <w:pPr>
              <w:spacing w:after="0"/>
              <w:rPr>
                <w:sz w:val="16"/>
                <w:szCs w:val="16"/>
                <w:color w:val="auto"/>
              </w:rPr>
            </w:pPr>
          </w:p>
        </w:tc>
        <w:tc>
          <w:tcPr>
            <w:tcW w:w="10280" w:type="dxa"/>
            <w:vAlign w:val="bottom"/>
            <w:gridSpan w:val="24"/>
          </w:tcPr>
          <w:p>
            <w:pPr>
              <w:spacing w:after="0" w:line="188" w:lineRule="exact"/>
              <w:rPr>
                <w:rFonts w:ascii="Arial" w:cs="Arial" w:eastAsia="Arial" w:hAnsi="Arial"/>
                <w:sz w:val="18"/>
                <w:szCs w:val="18"/>
                <w:color w:val="0000FF"/>
              </w:rPr>
            </w:pPr>
            <w:hyperlink w:anchor="page64">
              <w:r>
                <w:rPr>
                  <w:rFonts w:ascii="Arial" w:cs="Arial" w:eastAsia="Arial" w:hAnsi="Arial"/>
                  <w:sz w:val="18"/>
                  <w:szCs w:val="18"/>
                  <w:color w:val="0000FF"/>
                </w:rPr>
                <w:t>Note 1 Summary of Significant Accounting Policies</w:t>
              </w:r>
            </w:hyperlink>
          </w:p>
        </w:tc>
        <w:tc>
          <w:tcPr>
            <w:tcW w:w="580" w:type="dxa"/>
            <w:vAlign w:val="bottom"/>
            <w:gridSpan w:val="4"/>
          </w:tcPr>
          <w:p>
            <w:pPr>
              <w:jc w:val="right"/>
              <w:ind w:right="20"/>
              <w:spacing w:after="0" w:line="188" w:lineRule="exact"/>
              <w:rPr>
                <w:rFonts w:ascii="Arial" w:cs="Arial" w:eastAsia="Arial" w:hAnsi="Arial"/>
                <w:sz w:val="18"/>
                <w:szCs w:val="18"/>
                <w:color w:val="0000FF"/>
              </w:rPr>
            </w:pPr>
            <w:hyperlink w:anchor="page64">
              <w:r>
                <w:rPr>
                  <w:rFonts w:ascii="Arial" w:cs="Arial" w:eastAsia="Arial" w:hAnsi="Arial"/>
                  <w:sz w:val="18"/>
                  <w:szCs w:val="18"/>
                  <w:color w:val="0000FF"/>
                </w:rPr>
                <w:t>64</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4160" w:type="dxa"/>
            <w:vAlign w:val="bottom"/>
            <w:gridSpan w:val="16"/>
          </w:tcPr>
          <w:p>
            <w:pPr>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Note 2 Recently Issued Accounting Pronouncements</w:t>
              </w:r>
            </w:hyperlink>
          </w:p>
        </w:tc>
        <w:tc>
          <w:tcPr>
            <w:tcW w:w="612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2880" w:type="dxa"/>
            <w:vAlign w:val="bottom"/>
            <w:gridSpan w:val="8"/>
          </w:tcPr>
          <w:p>
            <w:pPr>
              <w:spacing w:after="0"/>
              <w:rPr>
                <w:rFonts w:ascii="Arial" w:cs="Arial" w:eastAsia="Arial" w:hAnsi="Arial"/>
                <w:sz w:val="18"/>
                <w:szCs w:val="18"/>
                <w:color w:val="0000FF"/>
                <w:w w:val="98"/>
              </w:rPr>
            </w:pPr>
            <w:hyperlink w:anchor="page71">
              <w:r>
                <w:rPr>
                  <w:rFonts w:ascii="Arial" w:cs="Arial" w:eastAsia="Arial" w:hAnsi="Arial"/>
                  <w:sz w:val="18"/>
                  <w:szCs w:val="18"/>
                  <w:color w:val="0000FF"/>
                  <w:w w:val="98"/>
                </w:rPr>
                <w:t>Note 3 Acquisitions and Divestitures</w:t>
              </w:r>
            </w:hyperlink>
          </w:p>
        </w:tc>
        <w:tc>
          <w:tcPr>
            <w:tcW w:w="1280" w:type="dxa"/>
            <w:vAlign w:val="bottom"/>
            <w:gridSpan w:val="8"/>
          </w:tcPr>
          <w:p>
            <w:pPr>
              <w:spacing w:after="0"/>
              <w:rPr>
                <w:sz w:val="18"/>
                <w:szCs w:val="18"/>
                <w:color w:val="auto"/>
              </w:rPr>
            </w:pPr>
          </w:p>
        </w:tc>
        <w:tc>
          <w:tcPr>
            <w:tcW w:w="612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288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 4 Revenue</w:t>
              </w:r>
            </w:hyperlink>
          </w:p>
        </w:tc>
        <w:tc>
          <w:tcPr>
            <w:tcW w:w="7400" w:type="dxa"/>
            <w:vAlign w:val="bottom"/>
            <w:gridSpan w:val="16"/>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72</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Note 5 Restructuring and Asset Impairment Charges</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240" w:type="dxa"/>
            <w:vAlign w:val="bottom"/>
            <w:gridSpan w:val="12"/>
          </w:tcPr>
          <w:p>
            <w:pPr>
              <w:spacing w:after="0"/>
              <w:rPr>
                <w:rFonts w:ascii="Arial" w:cs="Arial" w:eastAsia="Arial" w:hAnsi="Arial"/>
                <w:sz w:val="18"/>
                <w:szCs w:val="18"/>
                <w:color w:val="0000FF"/>
                <w:w w:val="97"/>
              </w:rPr>
            </w:pPr>
            <w:hyperlink w:anchor="page76">
              <w:r>
                <w:rPr>
                  <w:rFonts w:ascii="Arial" w:cs="Arial" w:eastAsia="Arial" w:hAnsi="Arial"/>
                  <w:sz w:val="18"/>
                  <w:szCs w:val="18"/>
                  <w:color w:val="0000FF"/>
                  <w:w w:val="97"/>
                </w:rPr>
                <w:t>Note 6 Other Non-Operating Income, Net</w:t>
              </w:r>
            </w:hyperlink>
          </w:p>
        </w:tc>
        <w:tc>
          <w:tcPr>
            <w:tcW w:w="920" w:type="dxa"/>
            <w:vAlign w:val="bottom"/>
            <w:gridSpan w:val="4"/>
          </w:tcPr>
          <w:p>
            <w:pPr>
              <w:spacing w:after="0"/>
              <w:rPr>
                <w:sz w:val="18"/>
                <w:szCs w:val="18"/>
                <w:color w:val="auto"/>
              </w:rPr>
            </w:pPr>
          </w:p>
        </w:tc>
        <w:tc>
          <w:tcPr>
            <w:tcW w:w="612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240" w:type="dxa"/>
            <w:vAlign w:val="bottom"/>
            <w:gridSpan w:val="1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Note 7 Income Taxes</w:t>
              </w:r>
            </w:hyperlink>
          </w:p>
        </w:tc>
        <w:tc>
          <w:tcPr>
            <w:tcW w:w="7040" w:type="dxa"/>
            <w:vAlign w:val="bottom"/>
            <w:gridSpan w:val="12"/>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77</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Note 8 Earnings Per Share</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82</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2140" w:type="dxa"/>
            <w:vAlign w:val="bottom"/>
            <w:gridSpan w:val="6"/>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Note 9 Inventories</w:t>
              </w:r>
            </w:hyperlink>
          </w:p>
        </w:tc>
        <w:tc>
          <w:tcPr>
            <w:tcW w:w="8140" w:type="dxa"/>
            <w:vAlign w:val="bottom"/>
            <w:gridSpan w:val="18"/>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82</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Note 10 Property, Plant and Equipment</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83</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100" w:type="dxa"/>
            <w:vAlign w:val="bottom"/>
            <w:gridSpan w:val="1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Note 11 Leases</w:t>
              </w:r>
            </w:hyperlink>
          </w:p>
        </w:tc>
        <w:tc>
          <w:tcPr>
            <w:tcW w:w="7180" w:type="dxa"/>
            <w:vAlign w:val="bottom"/>
            <w:gridSpan w:val="14"/>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83</w:t>
              </w:r>
            </w:hyperlink>
          </w:p>
        </w:tc>
      </w:tr>
      <w:tr>
        <w:trPr>
          <w:trHeight w:val="20"/>
        </w:trPr>
        <w:tc>
          <w:tcPr>
            <w:tcW w:w="2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620" w:type="dxa"/>
            <w:vAlign w:val="bottom"/>
            <w:gridSpan w:val="14"/>
          </w:tcPr>
          <w:p>
            <w:pPr>
              <w:spacing w:after="0"/>
              <w:rPr>
                <w:rFonts w:ascii="Arial" w:cs="Arial" w:eastAsia="Arial" w:hAnsi="Arial"/>
                <w:sz w:val="18"/>
                <w:szCs w:val="18"/>
                <w:color w:val="0000FF"/>
                <w:w w:val="98"/>
              </w:rPr>
            </w:pPr>
            <w:hyperlink w:anchor="page85">
              <w:r>
                <w:rPr>
                  <w:rFonts w:ascii="Arial" w:cs="Arial" w:eastAsia="Arial" w:hAnsi="Arial"/>
                  <w:sz w:val="18"/>
                  <w:szCs w:val="18"/>
                  <w:color w:val="0000FF"/>
                  <w:w w:val="98"/>
                </w:rPr>
                <w:t>Note 12 Goodwill and Other Intangible Assets</w:t>
              </w:r>
            </w:hyperlink>
          </w:p>
        </w:tc>
        <w:tc>
          <w:tcPr>
            <w:tcW w:w="6660" w:type="dxa"/>
            <w:vAlign w:val="bottom"/>
            <w:gridSpan w:val="10"/>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85</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240" w:type="dxa"/>
            <w:vAlign w:val="bottom"/>
            <w:gridSpan w:val="12"/>
          </w:tcPr>
          <w:p>
            <w:pPr>
              <w:spacing w:after="0"/>
              <w:rPr>
                <w:rFonts w:ascii="Arial" w:cs="Arial" w:eastAsia="Arial" w:hAnsi="Arial"/>
                <w:sz w:val="18"/>
                <w:szCs w:val="18"/>
                <w:color w:val="0000FF"/>
                <w:w w:val="98"/>
              </w:rPr>
            </w:pPr>
            <w:hyperlink w:anchor="page87">
              <w:r>
                <w:rPr>
                  <w:rFonts w:ascii="Arial" w:cs="Arial" w:eastAsia="Arial" w:hAnsi="Arial"/>
                  <w:sz w:val="18"/>
                  <w:szCs w:val="18"/>
                  <w:color w:val="0000FF"/>
                  <w:w w:val="98"/>
                </w:rPr>
                <w:t>Note 13 Derivative Financial Instruments</w:t>
              </w:r>
            </w:hyperlink>
          </w:p>
        </w:tc>
        <w:tc>
          <w:tcPr>
            <w:tcW w:w="380" w:type="dxa"/>
            <w:vAlign w:val="bottom"/>
            <w:gridSpan w:val="2"/>
          </w:tcPr>
          <w:p>
            <w:pPr>
              <w:spacing w:after="0"/>
              <w:rPr>
                <w:sz w:val="18"/>
                <w:szCs w:val="18"/>
                <w:color w:val="auto"/>
              </w:rPr>
            </w:pPr>
          </w:p>
        </w:tc>
        <w:tc>
          <w:tcPr>
            <w:tcW w:w="6660" w:type="dxa"/>
            <w:vAlign w:val="bottom"/>
            <w:gridSpan w:val="10"/>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87</w:t>
              </w:r>
            </w:hyperlink>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Note 14 Accrued and Other Current Liabilities</w:t>
              </w:r>
            </w:hyperlink>
          </w:p>
        </w:tc>
        <w:tc>
          <w:tcPr>
            <w:tcW w:w="580" w:type="dxa"/>
            <w:vAlign w:val="bottom"/>
            <w:gridSpan w:val="4"/>
          </w:tcPr>
          <w:p>
            <w:pPr>
              <w:jc w:val="right"/>
              <w:ind w:right="20"/>
              <w:spacing w:after="0"/>
              <w:rPr>
                <w:rFonts w:ascii="Arial" w:cs="Arial" w:eastAsia="Arial" w:hAnsi="Arial"/>
                <w:sz w:val="18"/>
                <w:szCs w:val="18"/>
                <w:color w:val="0000FF"/>
              </w:rPr>
            </w:pPr>
            <w:hyperlink w:anchor="page88">
              <w:r>
                <w:rPr>
                  <w:rFonts w:ascii="Arial" w:cs="Arial" w:eastAsia="Arial" w:hAnsi="Arial"/>
                  <w:sz w:val="18"/>
                  <w:szCs w:val="18"/>
                  <w:color w:val="0000FF"/>
                </w:rPr>
                <w:t>89</w:t>
              </w:r>
            </w:hyperlink>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620" w:type="dxa"/>
            <w:vAlign w:val="bottom"/>
            <w:gridSpan w:val="14"/>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Note 15 Credit Facilities and Debt</w:t>
              </w:r>
            </w:hyperlink>
          </w:p>
        </w:tc>
        <w:tc>
          <w:tcPr>
            <w:tcW w:w="6660" w:type="dxa"/>
            <w:vAlign w:val="bottom"/>
            <w:gridSpan w:val="10"/>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89</w:t>
              </w:r>
            </w:hyperlink>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color w:val="0000FF"/>
                <w:w w:val="99"/>
              </w:rPr>
            </w:pPr>
            <w:hyperlink w:anchor="page91">
              <w:r>
                <w:rPr>
                  <w:rFonts w:ascii="Arial" w:cs="Arial" w:eastAsia="Arial" w:hAnsi="Arial"/>
                  <w:sz w:val="18"/>
                  <w:szCs w:val="18"/>
                  <w:color w:val="0000FF"/>
                  <w:w w:val="99"/>
                </w:rPr>
                <w:t>Note 16 Post-retirement Benefit Plans</w:t>
              </w:r>
            </w:hyperlink>
          </w:p>
        </w:tc>
        <w:tc>
          <w:tcPr>
            <w:tcW w:w="7260" w:type="dxa"/>
            <w:vAlign w:val="bottom"/>
            <w:gridSpan w:val="15"/>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91</w:t>
              </w:r>
            </w:hyperlink>
          </w:p>
        </w:tc>
      </w:tr>
      <w:tr>
        <w:trPr>
          <w:trHeight w:val="20"/>
        </w:trPr>
        <w:tc>
          <w:tcPr>
            <w:tcW w:w="220" w:type="dxa"/>
            <w:vAlign w:val="bottom"/>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3440" w:type="dxa"/>
            <w:vAlign w:val="bottom"/>
            <w:gridSpan w:val="13"/>
          </w:tcPr>
          <w:p>
            <w:pPr>
              <w:spacing w:after="0"/>
              <w:rPr>
                <w:rFonts w:ascii="Arial" w:cs="Arial" w:eastAsia="Arial" w:hAnsi="Arial"/>
                <w:sz w:val="18"/>
                <w:szCs w:val="18"/>
                <w:color w:val="0000FF"/>
                <w:w w:val="98"/>
              </w:rPr>
            </w:pPr>
            <w:hyperlink w:anchor="page98">
              <w:r>
                <w:rPr>
                  <w:rFonts w:ascii="Arial" w:cs="Arial" w:eastAsia="Arial" w:hAnsi="Arial"/>
                  <w:sz w:val="18"/>
                  <w:szCs w:val="18"/>
                  <w:color w:val="0000FF"/>
                  <w:w w:val="98"/>
                </w:rPr>
                <w:t>Note 17 Share-Based Compensation Plans</w:t>
              </w:r>
            </w:hyperlink>
          </w:p>
        </w:tc>
        <w:tc>
          <w:tcPr>
            <w:tcW w:w="6840" w:type="dxa"/>
            <w:vAlign w:val="bottom"/>
            <w:gridSpan w:val="11"/>
          </w:tcPr>
          <w:p>
            <w:pPr>
              <w:spacing w:after="0"/>
              <w:rPr>
                <w:sz w:val="18"/>
                <w:szCs w:val="18"/>
                <w:color w:val="auto"/>
              </w:rPr>
            </w:pPr>
          </w:p>
        </w:tc>
        <w:tc>
          <w:tcPr>
            <w:tcW w:w="360" w:type="dxa"/>
            <w:vAlign w:val="bottom"/>
            <w:gridSpan w:val="2"/>
          </w:tcPr>
          <w:p>
            <w:pPr>
              <w:spacing w:after="0"/>
              <w:rPr>
                <w:sz w:val="18"/>
                <w:szCs w:val="18"/>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98</w:t>
              </w:r>
            </w:hyperlink>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220" w:type="dxa"/>
            <w:vAlign w:val="bottom"/>
          </w:tcPr>
          <w:p>
            <w:pPr>
              <w:spacing w:after="0"/>
              <w:rPr>
                <w:sz w:val="18"/>
                <w:szCs w:val="18"/>
                <w:color w:val="auto"/>
              </w:rPr>
            </w:pPr>
          </w:p>
        </w:tc>
        <w:tc>
          <w:tcPr>
            <w:tcW w:w="174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101">
              <w:r>
                <w:rPr>
                  <w:rFonts w:ascii="Arial" w:cs="Arial" w:eastAsia="Arial" w:hAnsi="Arial"/>
                  <w:sz w:val="18"/>
                  <w:szCs w:val="18"/>
                  <w:color w:val="0000FF"/>
                  <w:w w:val="98"/>
                </w:rPr>
                <w:t>Note 18 Capital Stock</w:t>
              </w:r>
            </w:hyperlink>
          </w:p>
        </w:tc>
        <w:tc>
          <w:tcPr>
            <w:tcW w:w="1700" w:type="dxa"/>
            <w:vAlign w:val="bottom"/>
            <w:gridSpan w:val="8"/>
          </w:tcPr>
          <w:p>
            <w:pPr>
              <w:spacing w:after="0"/>
              <w:rPr>
                <w:sz w:val="18"/>
                <w:szCs w:val="18"/>
                <w:color w:val="auto"/>
              </w:rPr>
            </w:pPr>
          </w:p>
        </w:tc>
        <w:tc>
          <w:tcPr>
            <w:tcW w:w="6840" w:type="dxa"/>
            <w:vAlign w:val="bottom"/>
            <w:gridSpan w:val="11"/>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101</w:t>
              </w:r>
            </w:hyperlink>
          </w:p>
        </w:tc>
        <w:tc>
          <w:tcPr>
            <w:tcW w:w="2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10280" w:type="dxa"/>
            <w:vAlign w:val="bottom"/>
            <w:gridSpan w:val="24"/>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Note 19 Accumulated Other Comprehensive Income (Loss)</w:t>
              </w:r>
            </w:hyperlink>
          </w:p>
        </w:tc>
        <w:tc>
          <w:tcPr>
            <w:tcW w:w="560" w:type="dxa"/>
            <w:vAlign w:val="bottom"/>
            <w:gridSpan w:val="3"/>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102</w:t>
              </w:r>
            </w:hyperlink>
          </w:p>
        </w:tc>
        <w:tc>
          <w:tcPr>
            <w:tcW w:w="2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32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8"/>
              </w:rPr>
            </w:pPr>
            <w:hyperlink w:anchor="page103">
              <w:r>
                <w:rPr>
                  <w:rFonts w:ascii="Arial" w:cs="Arial" w:eastAsia="Arial" w:hAnsi="Arial"/>
                  <w:sz w:val="18"/>
                  <w:szCs w:val="18"/>
                  <w:color w:val="0000FF"/>
                  <w:w w:val="98"/>
                </w:rPr>
                <w:t>Note 20 Commitment and Contingencies</w:t>
              </w:r>
            </w:hyperlink>
          </w:p>
        </w:tc>
        <w:tc>
          <w:tcPr>
            <w:tcW w:w="1460" w:type="dxa"/>
            <w:vAlign w:val="bottom"/>
            <w:tcBorders>
              <w:top w:val="single" w:sz="8" w:color="0000FF"/>
            </w:tcBorders>
            <w:gridSpan w:val="6"/>
          </w:tcPr>
          <w:p>
            <w:pPr>
              <w:spacing w:after="0"/>
              <w:rPr>
                <w:sz w:val="18"/>
                <w:szCs w:val="18"/>
                <w:color w:val="auto"/>
              </w:rPr>
            </w:pPr>
          </w:p>
        </w:tc>
        <w:tc>
          <w:tcPr>
            <w:tcW w:w="5580" w:type="dxa"/>
            <w:vAlign w:val="bottom"/>
            <w:gridSpan w:val="6"/>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103</w:t>
              </w:r>
            </w:hyperlink>
          </w:p>
        </w:tc>
        <w:tc>
          <w:tcPr>
            <w:tcW w:w="2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28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04">
              <w:r>
                <w:rPr>
                  <w:rFonts w:ascii="Arial" w:cs="Arial" w:eastAsia="Arial" w:hAnsi="Arial"/>
                  <w:sz w:val="18"/>
                  <w:szCs w:val="18"/>
                  <w:color w:val="0000FF"/>
                  <w:w w:val="99"/>
                </w:rPr>
                <w:t>Note 21 Related Party Transactions</w:t>
              </w:r>
            </w:hyperlink>
          </w:p>
        </w:tc>
        <w:tc>
          <w:tcPr>
            <w:tcW w:w="7400" w:type="dxa"/>
            <w:vAlign w:val="bottom"/>
            <w:gridSpan w:val="16"/>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104</w:t>
              </w:r>
            </w:hyperlink>
          </w:p>
        </w:tc>
        <w:tc>
          <w:tcPr>
            <w:tcW w:w="2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105">
              <w:r>
                <w:rPr>
                  <w:rFonts w:ascii="Arial" w:cs="Arial" w:eastAsia="Arial" w:hAnsi="Arial"/>
                  <w:sz w:val="18"/>
                  <w:szCs w:val="18"/>
                  <w:color w:val="0000FF"/>
                  <w:w w:val="99"/>
                </w:rPr>
                <w:t>Note 22 Segment and Geographic Data</w:t>
              </w:r>
            </w:hyperlink>
          </w:p>
        </w:tc>
        <w:tc>
          <w:tcPr>
            <w:tcW w:w="7120" w:type="dxa"/>
            <w:vAlign w:val="bottom"/>
            <w:gridSpan w:val="13"/>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105</w:t>
              </w:r>
            </w:hyperlink>
          </w:p>
        </w:tc>
        <w:tc>
          <w:tcPr>
            <w:tcW w:w="2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344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Note 23 Valuation and Qualifying Accounts</w:t>
              </w:r>
            </w:hyperlink>
          </w:p>
        </w:tc>
        <w:tc>
          <w:tcPr>
            <w:tcW w:w="6840" w:type="dxa"/>
            <w:vAlign w:val="bottom"/>
            <w:gridSpan w:val="11"/>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0000FF"/>
            </w:tcBorders>
            <w:gridSpan w:val="2"/>
          </w:tcPr>
          <w:p>
            <w:pPr>
              <w:jc w:val="right"/>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108</w:t>
              </w:r>
            </w:hyperlink>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882" w:right="499" w:bottom="1440" w:gutter="0" w:footer="0" w:header="0"/>
        </w:sectPr>
      </w:pPr>
    </w:p>
    <w:bookmarkStart w:id="56" w:name="page57"/>
    <w:bookmarkEnd w:id="56"/>
    <w:p>
      <w:pPr>
        <w:spacing w:after="0" w:line="200" w:lineRule="exact"/>
        <w:rPr>
          <w:sz w:val="20"/>
          <w:szCs w:val="20"/>
          <w:color w:val="auto"/>
        </w:rPr>
      </w:pPr>
    </w:p>
    <w:p>
      <w:pPr>
        <w:spacing w:after="0" w:line="21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2021 and 2020, the related consolidated statements of income, comprehensive income,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3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2022,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ind w:right="2220"/>
        <w:spacing w:after="0" w:line="425" w:lineRule="auto"/>
        <w:rPr>
          <w:sz w:val="20"/>
          <w:szCs w:val="20"/>
          <w:color w:val="auto"/>
        </w:rPr>
      </w:pPr>
      <w:r>
        <w:rPr>
          <w:rFonts w:ascii="Arial" w:cs="Arial" w:eastAsia="Arial" w:hAnsi="Arial"/>
          <w:sz w:val="18"/>
          <w:szCs w:val="18"/>
          <w:b w:val="1"/>
          <w:bCs w:val="1"/>
          <w:color w:val="auto"/>
        </w:rPr>
        <w:t xml:space="preserve">Goodwill - Advanced Infrastructure Analytics Reporting Unit - Refer to Note 12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goodwill balance was $ 2.8 billion as of December 31, 2021, of which $112 million is allocated to the AIA Reporting Unit (“AIA”). The AIA reporting unit recorded goodwill impairment charges in each of the last two years, most recently including a $58 million charge during Q3 2020. The fair value of AIA exceeded its carrying value as of the 2021 measurement date and, therefore, no further impairment was recognized.</w:t>
      </w:r>
    </w:p>
    <w:p>
      <w:pPr>
        <w:spacing w:after="0" w:line="22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To determine the fair value of the AIA reporting unit, the Company used the income approach. Under the income approach, the fair value of the AIA reporting unit was based on the discounted value of the estimated cash flows that</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57" w:name="page58"/>
    <w:bookmarkEnd w:id="57"/>
    <w:p>
      <w:pPr>
        <w:ind w:right="240"/>
        <w:spacing w:after="0" w:line="239" w:lineRule="auto"/>
        <w:rPr>
          <w:sz w:val="20"/>
          <w:szCs w:val="20"/>
          <w:color w:val="auto"/>
        </w:rPr>
      </w:pPr>
      <w:r>
        <w:rPr>
          <w:rFonts w:ascii="Arial" w:cs="Arial" w:eastAsia="Arial" w:hAnsi="Arial"/>
          <w:sz w:val="18"/>
          <w:szCs w:val="18"/>
          <w:color w:val="auto"/>
        </w:rPr>
        <w:t>the reporting unit is expected to generate. Cash flow projections were based on management’s estimates of revenue growth rates and operating margins, taking into consideration industry and market conditions. The discount rate was based on the weighted average cost of capital appropriate for the AIA reporting unit.</w:t>
      </w:r>
    </w:p>
    <w:p>
      <w:pPr>
        <w:spacing w:after="0" w:line="228"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Given the significant judgments made by management to estimate the fair value of AIA, performing audit procedures to evaluate the reasonableness of management’s estimates and assumptions related to the selection of the discount rate and forecasts of future revenue required a high degree of auditor judgment and an increased extent of effort, including the need to involve our fair value specialists.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forecasts of future revenue and selection of the discount rate for AIA included the following, among others:</w:t>
      </w:r>
    </w:p>
    <w:p>
      <w:pPr>
        <w:spacing w:after="0" w:line="263" w:lineRule="exact"/>
        <w:rPr>
          <w:sz w:val="20"/>
          <w:szCs w:val="20"/>
          <w:color w:val="auto"/>
        </w:rPr>
      </w:pPr>
    </w:p>
    <w:p>
      <w:pPr>
        <w:jc w:val="both"/>
        <w:ind w:left="660" w:hanging="330"/>
        <w:spacing w:after="0" w:line="231" w:lineRule="auto"/>
        <w:tabs>
          <w:tab w:leader="none" w:pos="655" w:val="left"/>
        </w:tabs>
        <w:numPr>
          <w:ilvl w:val="0"/>
          <w:numId w:val="25"/>
        </w:numPr>
        <w:rPr>
          <w:rFonts w:ascii="Arial" w:cs="Arial" w:eastAsia="Arial" w:hAnsi="Arial"/>
          <w:sz w:val="21"/>
          <w:szCs w:val="21"/>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AIA reporting unit, such as controls related to management’s forecasts of future revenue and the selection of the discount rate.</w:t>
      </w:r>
    </w:p>
    <w:p>
      <w:pPr>
        <w:spacing w:after="0" w:line="229" w:lineRule="exact"/>
        <w:rPr>
          <w:rFonts w:ascii="Arial" w:cs="Arial" w:eastAsia="Arial" w:hAnsi="Arial"/>
          <w:sz w:val="21"/>
          <w:szCs w:val="21"/>
          <w:color w:val="auto"/>
        </w:rPr>
      </w:pPr>
    </w:p>
    <w:p>
      <w:pPr>
        <w:ind w:left="640" w:hanging="310"/>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evaluated the reasonableness of management’s revenue forecasts by comparing the forecasts to:</w:t>
      </w:r>
    </w:p>
    <w:p>
      <w:pPr>
        <w:spacing w:after="0" w:line="23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Historical revenues.</w:t>
      </w:r>
    </w:p>
    <w:p>
      <w:pPr>
        <w:spacing w:after="0" w:line="14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15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Information included in industry reports and certain peer company data.</w:t>
      </w:r>
    </w:p>
    <w:p>
      <w:pPr>
        <w:spacing w:after="0" w:line="155" w:lineRule="exact"/>
        <w:rPr>
          <w:rFonts w:ascii="Arial" w:cs="Arial" w:eastAsia="Arial" w:hAnsi="Arial"/>
          <w:sz w:val="18"/>
          <w:szCs w:val="18"/>
          <w:color w:val="auto"/>
        </w:rPr>
      </w:pPr>
    </w:p>
    <w:p>
      <w:pPr>
        <w:ind w:left="660" w:right="60" w:hanging="330"/>
        <w:spacing w:after="0" w:line="272"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also evaluated the reasonableness of management’s revenue forecasts by comparing the actual growth in sales orders received to management’s forecasted growth in sales and we tested the accuracy and completeness of the underlying sales orders.</w:t>
      </w:r>
    </w:p>
    <w:p>
      <w:pPr>
        <w:spacing w:after="0" w:line="201" w:lineRule="exact"/>
        <w:rPr>
          <w:rFonts w:ascii="Arial" w:cs="Arial" w:eastAsia="Arial" w:hAnsi="Arial"/>
          <w:sz w:val="17"/>
          <w:szCs w:val="17"/>
          <w:color w:val="auto"/>
        </w:rPr>
      </w:pPr>
    </w:p>
    <w:p>
      <w:pPr>
        <w:ind w:left="660" w:hanging="330"/>
        <w:spacing w:after="0" w:line="23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methodology, (2) discount rate, and (3)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w:t>
      </w:r>
    </w:p>
    <w:p>
      <w:pPr>
        <w:spacing w:after="0" w:line="230" w:lineRule="exact"/>
        <w:rPr>
          <w:rFonts w:ascii="Arial" w:cs="Arial" w:eastAsia="Arial" w:hAnsi="Arial"/>
          <w:sz w:val="18"/>
          <w:szCs w:val="18"/>
          <w:color w:val="auto"/>
        </w:rPr>
      </w:pPr>
    </w:p>
    <w:p>
      <w:pPr>
        <w:ind w:left="660" w:right="300" w:hanging="330"/>
        <w:spacing w:after="0" w:line="24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fair value specialists also assisted in evaluating the reasonableness of the AIA fair value by considering comparable revenue multiples of peer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XYLEM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2019</w:t>
            </w:r>
          </w:p>
        </w:tc>
      </w:tr>
      <w:tr>
        <w:trPr>
          <w:trHeight w:val="222"/>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5,195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2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3,220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r>
      <w:tr>
        <w:trPr>
          <w:trHeight w:val="222"/>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1,975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28"/>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1,179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8"/>
        </w:trPr>
        <w:tc>
          <w:tcPr>
            <w:tcW w:w="6660" w:type="dxa"/>
            <w:vAlign w:val="bottom"/>
          </w:tcPr>
          <w:p>
            <w:pPr>
              <w:ind w:left="20"/>
              <w:spacing w:after="0"/>
              <w:rPr>
                <w:sz w:val="20"/>
                <w:szCs w:val="20"/>
                <w:color w:val="auto"/>
              </w:rPr>
            </w:pPr>
            <w:r>
              <w:rPr>
                <w:rFonts w:ascii="Arial" w:cs="Arial" w:eastAsia="Arial" w:hAnsi="Arial"/>
                <w:sz w:val="17"/>
                <w:szCs w:val="17"/>
                <w:color w:val="auto"/>
              </w:rPr>
              <w:t>Restructuring and asset impairment charges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2"/>
        </w:trPr>
        <w:tc>
          <w:tcPr>
            <w:tcW w:w="66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8"/>
        </w:trPr>
        <w:tc>
          <w:tcPr>
            <w:tcW w:w="6660" w:type="dxa"/>
            <w:vAlign w:val="bottom"/>
          </w:tcPr>
          <w:p>
            <w:pPr>
              <w:ind w:left="20"/>
              <w:spacing w:after="0"/>
              <w:rPr>
                <w:sz w:val="20"/>
                <w:szCs w:val="20"/>
                <w:color w:val="auto"/>
              </w:rPr>
            </w:pPr>
            <w:r>
              <w:rPr>
                <w:rFonts w:ascii="Arial" w:cs="Arial" w:eastAsia="Arial" w:hAnsi="Arial"/>
                <w:sz w:val="18"/>
                <w:szCs w:val="18"/>
                <w:color w:val="auto"/>
              </w:rPr>
              <w:t>Other non-operating expense, net</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6660" w:type="dxa"/>
            <w:vAlign w:val="bottom"/>
          </w:tcPr>
          <w:p>
            <w:pPr>
              <w:ind w:left="140"/>
              <w:spacing w:after="0"/>
              <w:rPr>
                <w:sz w:val="20"/>
                <w:szCs w:val="20"/>
                <w:color w:val="auto"/>
              </w:rPr>
            </w:pPr>
            <w:r>
              <w:rPr>
                <w:rFonts w:ascii="Arial" w:cs="Arial" w:eastAsia="Arial" w:hAnsi="Arial"/>
                <w:sz w:val="18"/>
                <w:szCs w:val="18"/>
                <w:color w:val="auto"/>
              </w:rPr>
              <w:t>Income before taxes</w:t>
            </w: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28"/>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195"/>
        </w:trPr>
        <w:tc>
          <w:tcPr>
            <w:tcW w:w="6660" w:type="dxa"/>
            <w:vAlign w:val="bottom"/>
          </w:tcPr>
          <w:p>
            <w:pPr>
              <w:ind w:left="140"/>
              <w:spacing w:after="0" w:line="195" w:lineRule="exact"/>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ind w:right="694"/>
              <w:spacing w:after="0" w:line="195" w:lineRule="exact"/>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694"/>
              <w:spacing w:after="0" w:line="195"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401</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66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Earnings per share:</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8"/>
        </w:trPr>
        <w:tc>
          <w:tcPr>
            <w:tcW w:w="6660" w:type="dxa"/>
            <w:vAlign w:val="bottom"/>
          </w:tcPr>
          <w:p>
            <w:pPr>
              <w:ind w:left="14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28"/>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8"/>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38"/>
        </w:trPr>
        <w:tc>
          <w:tcPr>
            <w:tcW w:w="6660" w:type="dxa"/>
            <w:vAlign w:val="bottom"/>
          </w:tcPr>
          <w:p>
            <w:pPr>
              <w:ind w:left="14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83"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XYLEM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8"/>
        </w:trPr>
        <w:tc>
          <w:tcPr>
            <w:tcW w:w="7400" w:type="dxa"/>
            <w:vAlign w:val="bottom"/>
          </w:tcPr>
          <w:p>
            <w:pPr>
              <w:ind w:left="20"/>
              <w:spacing w:after="0"/>
              <w:rPr>
                <w:sz w:val="20"/>
                <w:szCs w:val="20"/>
                <w:color w:val="auto"/>
              </w:rPr>
            </w:pPr>
            <w:r>
              <w:rPr>
                <w:rFonts w:ascii="Arial" w:cs="Arial" w:eastAsia="Arial" w:hAnsi="Arial"/>
                <w:sz w:val="18"/>
                <w:szCs w:val="18"/>
                <w:color w:val="auto"/>
              </w:rPr>
              <w:t>Other comprehensive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740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7400" w:type="dxa"/>
            <w:vAlign w:val="bottom"/>
          </w:tcPr>
          <w:p>
            <w:pPr>
              <w:ind w:left="220"/>
              <w:spacing w:after="0"/>
              <w:rPr>
                <w:sz w:val="20"/>
                <w:szCs w:val="20"/>
                <w:color w:val="auto"/>
              </w:rPr>
            </w:pPr>
            <w:r>
              <w:rPr>
                <w:rFonts w:ascii="Arial" w:cs="Arial" w:eastAsia="Arial" w:hAnsi="Arial"/>
                <w:sz w:val="18"/>
                <w:szCs w:val="18"/>
                <w:color w:val="auto"/>
              </w:rPr>
              <w:t>Amount of (gain) loss reclassified into net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8"/>
        </w:trPr>
        <w:tc>
          <w:tcPr>
            <w:tcW w:w="74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8"/>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credit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400" w:type="dxa"/>
            <w:vAlign w:val="bottom"/>
          </w:tcPr>
          <w:p>
            <w:pPr>
              <w:ind w:left="220"/>
              <w:spacing w:after="0"/>
              <w:rPr>
                <w:sz w:val="20"/>
                <w:szCs w:val="20"/>
                <w:color w:val="auto"/>
              </w:rPr>
            </w:pPr>
            <w:r>
              <w:rPr>
                <w:rFonts w:ascii="Arial" w:cs="Arial" w:eastAsia="Arial" w:hAnsi="Arial"/>
                <w:sz w:val="18"/>
                <w:szCs w:val="18"/>
                <w:color w:val="auto"/>
              </w:rPr>
              <w:t>Amortization of prior service credit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8"/>
        </w:trPr>
        <w:tc>
          <w:tcPr>
            <w:tcW w:w="740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74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8"/>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 related to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(loss) gain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82"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XYLEM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187"/>
        </w:trPr>
        <w:tc>
          <w:tcPr>
            <w:tcW w:w="8200" w:type="dxa"/>
            <w:vAlign w:val="bottom"/>
          </w:tcPr>
          <w:p>
            <w:pPr>
              <w:ind w:left="220"/>
              <w:spacing w:after="0" w:line="188" w:lineRule="exact"/>
              <w:rPr>
                <w:sz w:val="20"/>
                <w:szCs w:val="20"/>
                <w:color w:val="auto"/>
              </w:rPr>
            </w:pPr>
            <w:r>
              <w:rPr>
                <w:rFonts w:ascii="Arial" w:cs="Arial" w:eastAsia="Arial" w:hAnsi="Arial"/>
                <w:sz w:val="18"/>
                <w:szCs w:val="18"/>
                <w:color w:val="auto"/>
              </w:rPr>
              <w:t>Receivables, less allowances for discounts, returns and credit losses of $44 and $46 in 2021 and</w:t>
            </w:r>
          </w:p>
        </w:tc>
        <w:tc>
          <w:tcPr>
            <w:tcW w:w="34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Arial" w:cs="Arial" w:eastAsia="Arial" w:hAnsi="Arial"/>
                <w:sz w:val="18"/>
                <w:szCs w:val="18"/>
                <w:b w:val="1"/>
                <w:bCs w:val="1"/>
                <w:color w:val="auto"/>
              </w:rPr>
              <w:t>953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line="188" w:lineRule="exact"/>
              <w:rPr>
                <w:sz w:val="20"/>
                <w:szCs w:val="20"/>
                <w:color w:val="auto"/>
              </w:rPr>
            </w:pPr>
            <w:r>
              <w:rPr>
                <w:rFonts w:ascii="Arial" w:cs="Arial" w:eastAsia="Arial" w:hAnsi="Arial"/>
                <w:sz w:val="18"/>
                <w:szCs w:val="18"/>
                <w:color w:val="auto"/>
              </w:rPr>
              <w:t>923</w:t>
            </w:r>
          </w:p>
        </w:tc>
      </w:tr>
      <w:tr>
        <w:trPr>
          <w:trHeight w:val="216"/>
        </w:trPr>
        <w:tc>
          <w:tcPr>
            <w:tcW w:w="8200" w:type="dxa"/>
            <w:vAlign w:val="bottom"/>
          </w:tcPr>
          <w:p>
            <w:pPr>
              <w:ind w:left="220"/>
              <w:spacing w:after="0"/>
              <w:rPr>
                <w:sz w:val="20"/>
                <w:szCs w:val="20"/>
                <w:color w:val="auto"/>
              </w:rPr>
            </w:pPr>
            <w:r>
              <w:rPr>
                <w:rFonts w:ascii="Arial" w:cs="Arial" w:eastAsia="Arial" w:hAnsi="Arial"/>
                <w:sz w:val="18"/>
                <w:szCs w:val="18"/>
                <w:color w:val="auto"/>
              </w:rPr>
              <w:t>2020, respectively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8"/>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2"/>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82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8"/>
        </w:trPr>
        <w:tc>
          <w:tcPr>
            <w:tcW w:w="8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2"/>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Accrued post-retirement benefits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8"/>
        </w:trPr>
        <w:tc>
          <w:tcPr>
            <w:tcW w:w="8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accrued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r>
      <w:tr>
        <w:trPr>
          <w:trHeight w:val="208"/>
        </w:trPr>
        <w:tc>
          <w:tcPr>
            <w:tcW w:w="8200" w:type="dxa"/>
            <w:vAlign w:val="bottom"/>
          </w:tcPr>
          <w:p>
            <w:pPr>
              <w:ind w:left="20"/>
              <w:spacing w:after="0"/>
              <w:rPr>
                <w:sz w:val="20"/>
                <w:szCs w:val="20"/>
                <w:color w:val="auto"/>
              </w:rPr>
            </w:pPr>
            <w:r>
              <w:rPr>
                <w:rFonts w:ascii="Arial" w:cs="Arial" w:eastAsia="Arial" w:hAnsi="Arial"/>
                <w:sz w:val="18"/>
                <w:szCs w:val="18"/>
                <w:color w:val="auto"/>
              </w:rPr>
              <w:t>Commitment and Contingencies (Note 20)</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Authorized 750.0 shares, issued 195.6 and 194.9 shares in 2021 and 2020, respectively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28"/>
        </w:trPr>
        <w:tc>
          <w:tcPr>
            <w:tcW w:w="8200" w:type="dxa"/>
            <w:vAlign w:val="bottom"/>
          </w:tcPr>
          <w:p>
            <w:pPr>
              <w:ind w:left="220"/>
              <w:spacing w:after="0"/>
              <w:rPr>
                <w:sz w:val="20"/>
                <w:szCs w:val="20"/>
                <w:color w:val="auto"/>
              </w:rPr>
            </w:pPr>
            <w:r>
              <w:rPr>
                <w:rFonts w:ascii="Arial" w:cs="Arial" w:eastAsia="Arial" w:hAnsi="Arial"/>
                <w:sz w:val="18"/>
                <w:szCs w:val="18"/>
                <w:color w:val="auto"/>
              </w:rPr>
              <w:t>Treasury stock – at cost 15.2 shares and 14.5 shares in 2021 and 2020, respectively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28"/>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r>
      <w:tr>
        <w:trPr>
          <w:trHeight w:val="222"/>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r>
      <w:tr>
        <w:trPr>
          <w:trHeight w:val="24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XYLEM INC. AND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color w:val="auto"/>
              </w:rPr>
              <w:t>2019</w:t>
            </w:r>
          </w:p>
        </w:tc>
      </w:tr>
      <w:tr>
        <w:trPr>
          <w:trHeight w:val="211"/>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Operating Activities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656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5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427</w:t>
            </w:r>
          </w:p>
        </w:tc>
        <w:tc>
          <w:tcPr>
            <w:tcW w:w="10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8"/>
                <w:szCs w:val="18"/>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15"/>
        </w:trPr>
        <w:tc>
          <w:tcPr>
            <w:tcW w:w="6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Depreciation</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Amortization</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Deferred income taxes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Share-based compensation</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Restructuring and asset impairment charges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Goodwill impairment charge</w:t>
            </w:r>
          </w:p>
        </w:tc>
        <w:tc>
          <w:tcPr>
            <w:tcW w:w="5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Gain from sale of businesses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net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5"/>
        </w:trPr>
        <w:tc>
          <w:tcPr>
            <w:tcW w:w="6560" w:type="dxa"/>
            <w:vAlign w:val="bottom"/>
          </w:tcPr>
          <w:p>
            <w:pPr>
              <w:ind w:left="220"/>
              <w:spacing w:after="0"/>
              <w:rPr>
                <w:sz w:val="20"/>
                <w:szCs w:val="20"/>
                <w:color w:val="auto"/>
              </w:rPr>
            </w:pPr>
            <w:r>
              <w:rPr>
                <w:rFonts w:ascii="Arial" w:cs="Arial" w:eastAsia="Arial" w:hAnsi="Arial"/>
                <w:sz w:val="17"/>
                <w:szCs w:val="17"/>
                <w:color w:val="auto"/>
              </w:rPr>
              <w:t>Payments for restructuring</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5"/>
        </w:trPr>
        <w:tc>
          <w:tcPr>
            <w:tcW w:w="6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Contributions to post-retirement benefit plans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6560" w:type="dxa"/>
            <w:vAlign w:val="bottom"/>
          </w:tcPr>
          <w:p>
            <w:pPr>
              <w:ind w:left="220"/>
              <w:spacing w:after="0"/>
              <w:rPr>
                <w:sz w:val="20"/>
                <w:szCs w:val="20"/>
                <w:color w:val="auto"/>
              </w:rPr>
            </w:pPr>
            <w:r>
              <w:rPr>
                <w:rFonts w:ascii="Arial" w:cs="Arial" w:eastAsia="Arial" w:hAnsi="Arial"/>
                <w:sz w:val="17"/>
                <w:szCs w:val="17"/>
                <w:color w:val="auto"/>
              </w:rPr>
              <w:t>Changes in assets and liabilities (net of acquisitions):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Changes in receivables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Changes in inventories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Changes in accounts payable</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5"/>
        </w:trPr>
        <w:tc>
          <w:tcPr>
            <w:tcW w:w="6560" w:type="dxa"/>
            <w:vAlign w:val="bottom"/>
          </w:tcPr>
          <w:p>
            <w:pPr>
              <w:ind w:left="460"/>
              <w:spacing w:after="0"/>
              <w:rPr>
                <w:sz w:val="20"/>
                <w:szCs w:val="20"/>
                <w:color w:val="auto"/>
              </w:rPr>
            </w:pPr>
            <w:r>
              <w:rPr>
                <w:rFonts w:ascii="Arial" w:cs="Arial" w:eastAsia="Arial" w:hAnsi="Arial"/>
                <w:sz w:val="17"/>
                <w:szCs w:val="17"/>
                <w:color w:val="auto"/>
              </w:rPr>
              <w:t>Changes in accrued liabilities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5"/>
        </w:trPr>
        <w:tc>
          <w:tcPr>
            <w:tcW w:w="65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Changes in accrued taxes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65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Net changes in other assets and liabilities</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08"/>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Net Cash — Operating activities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w:t>
            </w:r>
          </w:p>
        </w:tc>
      </w:tr>
      <w:tr>
        <w:trPr>
          <w:trHeight w:val="208"/>
        </w:trPr>
        <w:tc>
          <w:tcPr>
            <w:tcW w:w="6560" w:type="dxa"/>
            <w:vAlign w:val="bottom"/>
          </w:tcPr>
          <w:p>
            <w:pPr>
              <w:ind w:left="140"/>
              <w:spacing w:after="0"/>
              <w:rPr>
                <w:sz w:val="20"/>
                <w:szCs w:val="20"/>
                <w:color w:val="auto"/>
              </w:rPr>
            </w:pPr>
            <w:r>
              <w:rPr>
                <w:rFonts w:ascii="Arial" w:cs="Arial" w:eastAsia="Arial" w:hAnsi="Arial"/>
                <w:sz w:val="17"/>
                <w:szCs w:val="17"/>
                <w:b w:val="1"/>
                <w:bCs w:val="1"/>
                <w:color w:val="auto"/>
              </w:rPr>
              <w:t>Investing Activities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Acquisitions of businesses and assets, net of cash acquired</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5"/>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businesses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8"/>
        </w:trPr>
        <w:tc>
          <w:tcPr>
            <w:tcW w:w="6560" w:type="dxa"/>
            <w:vAlign w:val="bottom"/>
          </w:tcPr>
          <w:p>
            <w:pPr>
              <w:ind w:left="140"/>
              <w:spacing w:after="0"/>
              <w:rPr>
                <w:sz w:val="20"/>
                <w:szCs w:val="20"/>
                <w:color w:val="auto"/>
              </w:rPr>
            </w:pPr>
            <w:r>
              <w:rPr>
                <w:rFonts w:ascii="Arial" w:cs="Arial" w:eastAsia="Arial" w:hAnsi="Arial"/>
                <w:sz w:val="17"/>
                <w:szCs w:val="17"/>
                <w:color w:val="auto"/>
              </w:rPr>
              <w:t>Cash received from investments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investments</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Cash received from cross-currency swaps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5"/>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Net Cash — Investing activities</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r>
      <w:tr>
        <w:trPr>
          <w:trHeight w:val="208"/>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Financing Activities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Short-term debt issued, net</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228"/>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Short-term debt repaid, net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Long-term debt issued, net</w:t>
            </w:r>
          </w:p>
        </w:tc>
        <w:tc>
          <w:tcPr>
            <w:tcW w:w="5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Long-term debt repaid, net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5"/>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employee stock options</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5"/>
        </w:trPr>
        <w:tc>
          <w:tcPr>
            <w:tcW w:w="6560" w:type="dxa"/>
            <w:vAlign w:val="bottom"/>
          </w:tcPr>
          <w:p>
            <w:pPr>
              <w:ind w:left="140"/>
              <w:spacing w:after="0"/>
              <w:rPr>
                <w:sz w:val="20"/>
                <w:szCs w:val="20"/>
                <w:color w:val="auto"/>
              </w:rPr>
            </w:pPr>
            <w:r>
              <w:rPr>
                <w:rFonts w:ascii="Arial" w:cs="Arial" w:eastAsia="Arial" w:hAnsi="Arial"/>
                <w:sz w:val="17"/>
                <w:szCs w:val="17"/>
                <w:color w:val="auto"/>
              </w:rPr>
              <w:t>Dividends paid</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15"/>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8"/>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Net Cash — Financing activities</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r>
      <w:tr>
        <w:trPr>
          <w:trHeight w:val="208"/>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Effect of exchange rate changes on cash</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8"/>
        </w:trPr>
        <w:tc>
          <w:tcPr>
            <w:tcW w:w="6560" w:type="dxa"/>
            <w:vAlign w:val="bottom"/>
          </w:tcPr>
          <w:p>
            <w:pPr>
              <w:ind w:left="140"/>
              <w:spacing w:after="0"/>
              <w:rPr>
                <w:sz w:val="20"/>
                <w:szCs w:val="20"/>
                <w:color w:val="auto"/>
              </w:rPr>
            </w:pPr>
            <w:r>
              <w:rPr>
                <w:rFonts w:ascii="Arial" w:cs="Arial" w:eastAsia="Arial" w:hAnsi="Arial"/>
                <w:sz w:val="17"/>
                <w:szCs w:val="17"/>
                <w:color w:val="auto"/>
              </w:rPr>
              <w:t>Net change in cash and cash equivalents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428</w:t>
            </w:r>
          </w:p>
        </w:tc>
      </w:tr>
      <w:tr>
        <w:trPr>
          <w:trHeight w:val="215"/>
        </w:trPr>
        <w:tc>
          <w:tcPr>
            <w:tcW w:w="6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Cash and cash equivalents at beginning of year</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1,875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208"/>
        </w:trPr>
        <w:tc>
          <w:tcPr>
            <w:tcW w:w="656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Cash and cash equivalents at end of year</w:t>
            </w: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w:t>
            </w:r>
          </w:p>
        </w:tc>
      </w:tr>
      <w:tr>
        <w:trPr>
          <w:trHeight w:val="208"/>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560" w:type="dxa"/>
            <w:vAlign w:val="bottom"/>
          </w:tcPr>
          <w:p>
            <w:pPr>
              <w:ind w:left="140"/>
              <w:spacing w:after="0"/>
              <w:rPr>
                <w:sz w:val="20"/>
                <w:szCs w:val="20"/>
                <w:color w:val="auto"/>
              </w:rPr>
            </w:pPr>
            <w:r>
              <w:rPr>
                <w:rFonts w:ascii="Arial" w:cs="Arial" w:eastAsia="Arial" w:hAnsi="Arial"/>
                <w:sz w:val="17"/>
                <w:szCs w:val="17"/>
                <w:color w:val="auto"/>
              </w:rPr>
              <w:t>Cash paid during the year for:</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w:t>
            </w:r>
          </w:p>
        </w:tc>
        <w:tc>
          <w:tcPr>
            <w:tcW w:w="5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4"/>
        </w:trPr>
        <w:tc>
          <w:tcPr>
            <w:tcW w:w="6560" w:type="dxa"/>
            <w:vAlign w:val="bottom"/>
          </w:tcPr>
          <w:p>
            <w:pPr>
              <w:ind w:left="220"/>
              <w:spacing w:after="0"/>
              <w:rPr>
                <w:sz w:val="20"/>
                <w:szCs w:val="20"/>
                <w:color w:val="auto"/>
              </w:rPr>
            </w:pPr>
            <w:r>
              <w:rPr>
                <w:rFonts w:ascii="Arial" w:cs="Arial" w:eastAsia="Arial" w:hAnsi="Arial"/>
                <w:sz w:val="17"/>
                <w:szCs w:val="17"/>
                <w:color w:val="auto"/>
              </w:rPr>
              <w:t>Income taxes (net of refunds received)</w:t>
            </w:r>
          </w:p>
        </w:tc>
        <w:tc>
          <w:tcPr>
            <w:tcW w:w="58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23"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XYLEM INC. AND SUBSIDIARIES</w:t>
      </w:r>
    </w:p>
    <w:p>
      <w:pPr>
        <w:spacing w:after="0" w:line="30" w:lineRule="exact"/>
        <w:rPr>
          <w:sz w:val="20"/>
          <w:szCs w:val="20"/>
          <w:color w:val="auto"/>
        </w:rPr>
      </w:pPr>
    </w:p>
    <w:p>
      <w:pPr>
        <w:ind w:right="4800"/>
        <w:spacing w:after="0" w:line="259"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40" w:type="dxa"/>
            <w:vAlign w:val="bottom"/>
            <w:gridSpan w:val="3"/>
          </w:tcPr>
          <w:p>
            <w:pPr>
              <w:jc w:val="center"/>
              <w:ind w:right="100"/>
              <w:spacing w:after="0" w:line="161" w:lineRule="exact"/>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4"/>
                <w:szCs w:val="14"/>
                <w:color w:val="auto"/>
              </w:rPr>
            </w:pPr>
          </w:p>
        </w:tc>
        <w:tc>
          <w:tcPr>
            <w:tcW w:w="98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line="161" w:lineRule="exact"/>
              <w:rPr>
                <w:sz w:val="20"/>
                <w:szCs w:val="20"/>
                <w:color w:val="auto"/>
              </w:rPr>
            </w:pPr>
            <w:r>
              <w:rPr>
                <w:rFonts w:ascii="Arial" w:cs="Arial" w:eastAsia="Arial" w:hAnsi="Arial"/>
                <w:sz w:val="16"/>
                <w:szCs w:val="16"/>
                <w:color w:val="auto"/>
              </w:rPr>
              <w:t>Comprehensive</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1" w:lineRule="exact"/>
              <w:rPr>
                <w:sz w:val="20"/>
                <w:szCs w:val="20"/>
                <w:color w:val="auto"/>
              </w:rPr>
            </w:pPr>
            <w:r>
              <w:rPr>
                <w:rFonts w:ascii="Arial" w:cs="Arial" w:eastAsia="Arial" w:hAnsi="Arial"/>
                <w:sz w:val="16"/>
                <w:szCs w:val="16"/>
                <w:color w:val="auto"/>
                <w:w w:val="98"/>
              </w:rPr>
              <w:t>Treasury</w:t>
            </w:r>
          </w:p>
        </w:tc>
        <w:tc>
          <w:tcPr>
            <w:tcW w:w="128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Non-Controlling</w:t>
            </w:r>
          </w:p>
        </w:tc>
        <w:tc>
          <w:tcPr>
            <w:tcW w:w="200" w:type="dxa"/>
            <w:vAlign w:val="bottom"/>
          </w:tcPr>
          <w:p>
            <w:pPr>
              <w:spacing w:after="0"/>
              <w:rPr>
                <w:sz w:val="14"/>
                <w:szCs w:val="14"/>
                <w:color w:val="auto"/>
              </w:rPr>
            </w:pPr>
          </w:p>
        </w:tc>
        <w:tc>
          <w:tcPr>
            <w:tcW w:w="72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6"/>
                <w:szCs w:val="16"/>
                <w:color w:val="auto"/>
                <w:w w:val="99"/>
              </w:rPr>
              <w:t>Stock</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color w:val="auto"/>
                <w:w w:val="99"/>
              </w:rPr>
              <w:t>Stock</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Sale of Business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Other comprehensive loss, net</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to minority shareholders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($.96 per share)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activity</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6"/>
        </w:trPr>
        <w:tc>
          <w:tcPr>
            <w:tcW w:w="306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ind w:left="140"/>
              <w:spacing w:after="0" w:line="180" w:lineRule="exact"/>
              <w:rPr>
                <w:sz w:val="20"/>
                <w:szCs w:val="20"/>
                <w:color w:val="auto"/>
              </w:rPr>
            </w:pPr>
            <w:r>
              <w:rPr>
                <w:rFonts w:ascii="Arial" w:cs="Arial" w:eastAsia="Arial" w:hAnsi="Arial"/>
                <w:sz w:val="16"/>
                <w:szCs w:val="16"/>
                <w:color w:val="auto"/>
              </w:rPr>
              <w:t>Cumulative effect of change in</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accounting principle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Distribution to minority shareholders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($1.04 per share)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2"/>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activity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214"/>
        </w:trPr>
        <w:tc>
          <w:tcPr>
            <w:tcW w:w="3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427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214"/>
        </w:trPr>
        <w:tc>
          <w:tcPr>
            <w:tcW w:w="3060" w:type="dxa"/>
            <w:vAlign w:val="bottom"/>
          </w:tcPr>
          <w:p>
            <w:pPr>
              <w:ind w:left="140"/>
              <w:spacing w:after="0"/>
              <w:rPr>
                <w:sz w:val="20"/>
                <w:szCs w:val="20"/>
                <w:color w:val="auto"/>
              </w:rPr>
            </w:pPr>
            <w:r>
              <w:rPr>
                <w:rFonts w:ascii="Arial" w:cs="Arial" w:eastAsia="Arial" w:hAnsi="Arial"/>
                <w:sz w:val="16"/>
                <w:szCs w:val="16"/>
                <w:color w:val="auto"/>
              </w:rPr>
              <w:t>Dividends declared ($1.12 per share)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incentive plan activity</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0" w:type="dxa"/>
            <w:vAlign w:val="bottom"/>
          </w:tcPr>
          <w:p>
            <w:pPr>
              <w:spacing w:after="0"/>
              <w:rPr>
                <w:sz w:val="1"/>
                <w:szCs w:val="1"/>
                <w:color w:val="auto"/>
              </w:rPr>
            </w:pPr>
          </w:p>
        </w:tc>
      </w:tr>
      <w:tr>
        <w:trPr>
          <w:trHeight w:val="214"/>
        </w:trPr>
        <w:tc>
          <w:tcPr>
            <w:tcW w:w="306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4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3,226</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681" w:right="3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XYLEM INC. AND SUBSIDIARIES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37"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22, "Segment and Geographic Data" for further segment background information.</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31, 2011 (the "Distribution Date"), ITT Corporation (“ITT”) completed the Spin-off (the “Spin-off”) of Xylem, formerly ITT’s water equipment and services businesses. The Spin-off was completed pursuant to the Distribution Agreement, dated as of October 25, 2011 (the “Distribution Agreement”), among ITT; (now ITT LLC; acquired by Delticus HoldCo, L.P., a portfolio company of Warburg Pincus LLC, on July 1, 2021), Exelis Inc., acquired by Harris Corporation, now L3Harris Technologies, Inc., on May 29, 2015, (“Exelis”) and Xylem. Xylem Inc. was incorporated in Indiana on May 4, 2011 in connection with the Spin-off.</w:t>
      </w:r>
    </w:p>
    <w:p>
      <w:pPr>
        <w:spacing w:after="0" w:line="100"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 References in the notes to the consolidated financial statements to “ITT” or “former parent” refers to ITT Corporation (now ITT LLC) and its consolidated subsidiaries (other than Xylem Inc.).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consolidated financial statements. Actual results could differ from these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3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 operations. If the actual results of operations for the investee are significantly different from projections, we may incur future charges for the impairment of these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37"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3"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recognition pattern of revenue.</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from performance obligations related to services is primarily recognized over time, as the performance obligations are satisfied. In these instances, the customer consumes the benefit of the service as Xylem performs.</w:t>
      </w:r>
    </w:p>
    <w:p>
      <w:pPr>
        <w:spacing w:after="0" w:line="9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98" w:lineRule="exact"/>
        <w:rPr>
          <w:sz w:val="20"/>
          <w:szCs w:val="20"/>
          <w:color w:val="auto"/>
        </w:rPr>
      </w:pPr>
    </w:p>
    <w:p>
      <w:pPr>
        <w:ind w:right="660"/>
        <w:spacing w:after="0" w:line="289" w:lineRule="auto"/>
        <w:rPr>
          <w:sz w:val="20"/>
          <w:szCs w:val="20"/>
          <w:color w:val="auto"/>
        </w:rPr>
      </w:pPr>
      <w:r>
        <w:rPr>
          <w:rFonts w:ascii="Arial" w:cs="Arial" w:eastAsia="Arial" w:hAnsi="Arial"/>
          <w:sz w:val="17"/>
          <w:szCs w:val="17"/>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6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out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10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and retainage.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constrain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99" w:lineRule="exact"/>
        <w:rPr>
          <w:sz w:val="20"/>
          <w:szCs w:val="20"/>
          <w:color w:val="auto"/>
        </w:rPr>
      </w:pPr>
    </w:p>
    <w:p>
      <w:pPr>
        <w:jc w:val="both"/>
        <w:ind w:right="440"/>
        <w:spacing w:after="0" w:line="254"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9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65" w:name="page66"/>
    <w:bookmarkEnd w:id="65"/>
    <w:p>
      <w:pPr>
        <w:spacing w:after="0" w:line="252"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offer standard warranties for our products to ensure that our products comply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9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Share-based awards issued to employees include non-qualified stock options, restricted stock unit awards and performance share unit awards. Share-based awards issued to members of the Board of Directors include restricted stock unit awards. Compensation costs resulting from share-based payment transactions are recognized primarily within selling, general and administrative expenses, at fair value over the requisite service period (typically three years) on a straight-line basis. The calculated compensation cost is adjusted based on an estimate of awards ultimately expected to vest. For performance awards, the calculated compensation cost is adjusted based on an estimate of awards ultimately expected to vest and our assessment of the probable outcome of the performance condition. The fair value of a non-qualified stock option is determined on the date of grant using a binomial lattice pricing model incorporating multiple and variable assumptions over time, including assumptions such as employee exercise patterns, stock price volatility and changes in dividends. The fair value of restricted stock unit awards is determined using the closing price of our common stock on date of grant. The fair value of Return on Invested Capital ("ROIC") performance share units at 100% target is determined using the closing price of our common stock on date of grant. The fair value of Total 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7"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are related to developing software that is sold to our customers, we capitalize the applicable development costs. All other research and development costs are charged to expense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3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infrastructure charges to vacate facilities or consolidate operations, contract termination costs and other related charges. For involuntary separation plans, a liability is recognized when it is probable and reasonably estimable. For 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8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jurisdiction in which we operate and the period over which our deferred tax assets will be recoverable. If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215"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21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Tax benefits are recognized for an uncertain tax position when, based on the technical merits of the position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(expense) income, net and tax penalties as a component of income tax expense in our Consolidated Income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present two calculations of earnings per share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37"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Receivables are primarily comprised of uncollected amounts owed to us from transactions with customers and are presented net of allowances for credit losses, returns and early payment discounts.</w:t>
      </w:r>
    </w:p>
    <w:p>
      <w:pPr>
        <w:spacing w:after="0" w:line="9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 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 related to the specific customer change, we adjust estimates of the recoverability of receivables as appropriate. We determine our allowance for early payment discounts primarily based on historical experience with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67" w:name="page68"/>
    <w:bookmarkEnd w:id="67"/>
    <w:p>
      <w:pPr>
        <w:ind w:right="40"/>
        <w:spacing w:after="0" w:line="252"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2021 and 2020 we do not believe we have any significant concentrations of credit risk.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3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Life</w:t>
            </w:r>
          </w:p>
        </w:tc>
      </w:tr>
      <w:tr>
        <w:trPr>
          <w:trHeight w:val="222"/>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to 40 years</w:t>
            </w:r>
          </w:p>
        </w:tc>
      </w:tr>
      <w:tr>
        <w:trPr>
          <w:trHeight w:val="228"/>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r>
        <w:trPr>
          <w:trHeight w:val="228"/>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ind w:left="20"/>
              <w:spacing w:after="0"/>
              <w:rPr>
                <w:sz w:val="20"/>
                <w:szCs w:val="20"/>
                <w:color w:val="auto"/>
              </w:rPr>
            </w:pPr>
            <w:r>
              <w:rPr>
                <w:rFonts w:ascii="Arial" w:cs="Arial" w:eastAsia="Arial" w:hAnsi="Arial"/>
                <w:sz w:val="18"/>
                <w:szCs w:val="18"/>
                <w:color w:val="auto"/>
              </w:rPr>
              <w:t>2 to 10 years</w:t>
            </w:r>
          </w:p>
        </w:tc>
      </w:tr>
    </w:tbl>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7"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balance sheet. Instead, lease payments for these leases are recognized as a lease cost on a straight-line basis over the lease term.</w:t>
      </w:r>
    </w:p>
    <w:p>
      <w:pPr>
        <w:spacing w:after="0" w:line="9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25 years and is included in cost of revenue or selling, general and administrative expenses. Certain of our intangible assets, namely certain brands and trademarks, as well as FCC licenses, have an indefinite life and are not amortized.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spacing w:after="0" w:line="9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We conduct our annual impairment testing as of the beginning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an income approach.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3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determination of defined benefit pension and post-retirement plan obligations and their associated costs requires the use of actuarial computations to estimate participant plan benefits to which the employees will be entitled. The significant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1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3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record all derivatives on the balance sheet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Changes in the fair value of derivatives designated and that qualify as cash flow hedges of foreign exchange risk are recorded in OCI and are subsequently reclassified into either revenue or cost of revenue (hedge of sales classified into revenue and hedge of purchases classified into cost of revenue) in the period that the hedged forecasted transaction affects earnings. 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AOCI is immediately recognized into net income.</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Effectiveness of derivatives designated as net investment hedges is assessed using the spot method. The changes in the fair value of these derivatives due to movements in spot exchange rates are recorded in OCI. Amounts in AOCI are reclassified into earnings at the time the hedged net investment is sold or substantially liquidated. Furthermore, we recognize interest income based on the interest rate differential embedded in the derivative instrument.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3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7"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derivative contracts and accounts receivable from trade customers. We maintain cash and cash equivalents and derivative contracts with various financial institutions. These financial institutions are located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0" w:name="page71"/>
    <w:bookmarkEnd w:id="70"/>
    <w:p>
      <w:pPr>
        <w:ind w:right="40"/>
        <w:spacing w:after="0" w:line="250" w:lineRule="auto"/>
        <w:rPr>
          <w:sz w:val="20"/>
          <w:szCs w:val="20"/>
          <w:color w:val="auto"/>
        </w:rPr>
      </w:pPr>
      <w:r>
        <w:rPr>
          <w:rFonts w:ascii="Arial" w:cs="Arial" w:eastAsia="Arial" w:hAnsi="Arial"/>
          <w:sz w:val="18"/>
          <w:szCs w:val="18"/>
          <w:color w:val="auto"/>
        </w:rPr>
        <w:t>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2021 and 2020 were uninsured. Foreign cash balances at December 31, 2021 and 2020 were $596 million and $635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95" w:lineRule="exact"/>
        <w:rPr>
          <w:sz w:val="20"/>
          <w:szCs w:val="20"/>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5" w:lineRule="exact"/>
        <w:rPr>
          <w:rFonts w:ascii="Arial" w:cs="Arial" w:eastAsia="Arial" w:hAnsi="Arial"/>
          <w:sz w:val="18"/>
          <w:szCs w:val="18"/>
          <w:color w:val="auto"/>
        </w:rPr>
      </w:pPr>
    </w:p>
    <w:p>
      <w:pPr>
        <w:ind w:left="660" w:right="40" w:hanging="330"/>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98" w:lineRule="exact"/>
        <w:rPr>
          <w:rFonts w:ascii="Arial" w:cs="Arial" w:eastAsia="Arial" w:hAnsi="Arial"/>
          <w:sz w:val="18"/>
          <w:szCs w:val="18"/>
          <w:color w:val="auto"/>
        </w:rPr>
      </w:pPr>
    </w:p>
    <w:p>
      <w:pPr>
        <w:ind w:left="640" w:hanging="31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2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June 2016, the Financial Accounting Standards Board ("FASB") issued Accounting Standards Update 2016-13, "Financial Instruments-Credit Losses (Topic 326), Measurement of Credit Losses on Financial Instruments," amending the accounting for the impairment of financial instruments, including trade receivables. Under previous guidance, credit losses were recognized when the applicable losses had a probable likelihood of occurring and this assessment was based on past events and current conditions. The amended current guidance eliminates the “probable” threshold and requires an entity to use a broader range of information, including forecast information when estimating expected credit losses. Generally, this should result in a more timely recognition of credit losses. This guidance became effective for interim and annual periods beginning after December 15, 2019 with early adoption permitted for interim and annual periods beginning after December 15, 2018. The requirements of the amended guidance should be applied using a modified retrospective approach except for debt securities, which require a prospective transition approach. We adopted this guidance as of January 1, 2020. The adoption of this guidance did not have a material impact on our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and 2020 Acquisitions and Divestitures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had no material acquisition or divestiture activity during the 12 months ended December 31, 2021 and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During the 12 months ended December 31, 2019 we spent approximately $18 million, net of cash received on acquisition activity.</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10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22"/>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2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2"/>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reflects revenue from contracts with customers by application. The table below also reflects updates to the aggregation of applications to simplify and focus presentation.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0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8"/>
        </w:trPr>
        <w:tc>
          <w:tcPr>
            <w:tcW w:w="648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1,619</w:t>
            </w: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28"/>
        </w:trPr>
        <w:tc>
          <w:tcPr>
            <w:tcW w:w="6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69"/>
        </w:trPr>
        <w:tc>
          <w:tcPr>
            <w:tcW w:w="6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8"/>
        </w:trPr>
        <w:tc>
          <w:tcPr>
            <w:tcW w:w="648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8"/>
        </w:trPr>
        <w:tc>
          <w:tcPr>
            <w:tcW w:w="6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Residential Building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8"/>
        </w:trPr>
        <w:tc>
          <w:tcPr>
            <w:tcW w:w="648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69"/>
        </w:trPr>
        <w:tc>
          <w:tcPr>
            <w:tcW w:w="64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8"/>
        </w:trPr>
        <w:tc>
          <w:tcPr>
            <w:tcW w:w="6480" w:type="dxa"/>
            <w:vAlign w:val="bottom"/>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8"/>
        </w:trPr>
        <w:tc>
          <w:tcPr>
            <w:tcW w:w="6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28"/>
        </w:trPr>
        <w:tc>
          <w:tcPr>
            <w:tcW w:w="64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Energy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42"/>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840"/>
        <w:spacing w:after="0" w:line="258" w:lineRule="auto"/>
        <w:rPr>
          <w:sz w:val="20"/>
          <w:szCs w:val="20"/>
          <w:color w:val="auto"/>
        </w:rPr>
      </w:pPr>
      <w:r>
        <w:rPr>
          <w:rFonts w:ascii="Arial" w:cs="Arial" w:eastAsia="Arial" w:hAnsi="Arial"/>
          <w:sz w:val="16"/>
          <w:szCs w:val="16"/>
          <w:color w:val="auto"/>
        </w:rPr>
        <w:t>*Items in the prior year footnote disclosures for Applied Water and Measurement and Control Solutions were reclassified to conform to the current classification.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72" w:name="page73"/>
    <w:bookmarkEnd w:id="72"/>
    <w:p>
      <w:pPr>
        <w:spacing w:after="0" w:line="2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following table reflects revenue from contracts with customers by geographical region. The presentation of geographic regions below has been updated to better align to how management currently focuses on revenue and growth platforms by geographic region. For consistency, the prior year balances have been adjusted to conform with the current year presentation. There has been no change to the Company's reportable segments.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100" w:type="dxa"/>
            <w:vAlign w:val="bottom"/>
            <w:gridSpan w:val="6"/>
            <w:shd w:val="clear" w:color="auto" w:fill="CCEEFF"/>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shd w:val="clear" w:color="auto" w:fill="CCEEFF"/>
          </w:tcPr>
          <w:p>
            <w:pPr>
              <w:spacing w:after="0"/>
              <w:rPr>
                <w:sz w:val="16"/>
                <w:szCs w:val="16"/>
                <w:color w:val="auto"/>
              </w:rPr>
            </w:pPr>
          </w:p>
        </w:tc>
      </w:tr>
      <w:tr>
        <w:trPr>
          <w:trHeight w:val="188"/>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8"/>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8"/>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8"/>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8"/>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69"/>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8"/>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28"/>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8"/>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8"/>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69"/>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8"/>
        </w:trPr>
        <w:tc>
          <w:tcPr>
            <w:tcW w:w="64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w:t>
            </w:r>
          </w:p>
        </w:tc>
      </w:tr>
      <w:tr>
        <w:trPr>
          <w:trHeight w:val="228"/>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8"/>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28"/>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69"/>
        </w:trPr>
        <w:tc>
          <w:tcPr>
            <w:tcW w:w="64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2"/>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400" w:firstLine="7"/>
        <w:spacing w:after="0" w:line="279" w:lineRule="auto"/>
        <w:tabs>
          <w:tab w:leader="none" w:pos="242"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Emerging Markets includes results from the following regions: Eastern Europe, the Middle East and Africa, Latin America and Asia Pacific (excluding Japan, Australia and New Zealand, which are presented in "Other")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Contract Balances</w:t>
      </w:r>
    </w:p>
    <w:p>
      <w:pPr>
        <w:spacing w:after="0" w:line="2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Assets (a)</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Liabilities</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8"/>
        </w:trPr>
        <w:tc>
          <w:tcPr>
            <w:tcW w:w="722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28"/>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r>
      <w:tr>
        <w:trPr>
          <w:trHeight w:val="228"/>
        </w:trPr>
        <w:tc>
          <w:tcPr>
            <w:tcW w:w="722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7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2"/>
        </w:trPr>
        <w:tc>
          <w:tcPr>
            <w:tcW w:w="7220" w:type="dxa"/>
            <w:vAlign w:val="bottom"/>
          </w:tcPr>
          <w:p>
            <w:pPr>
              <w:ind w:left="20"/>
              <w:spacing w:after="0"/>
              <w:rPr>
                <w:sz w:val="20"/>
                <w:szCs w:val="20"/>
                <w:color w:val="auto"/>
              </w:rPr>
            </w:pPr>
            <w:r>
              <w:rPr>
                <w:rFonts w:ascii="Arial" w:cs="Arial" w:eastAsia="Arial" w:hAnsi="Arial"/>
                <w:sz w:val="18"/>
                <w:szCs w:val="18"/>
                <w:color w:val="auto"/>
              </w:rPr>
              <w:t>Balance at 1/1/2021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8"/>
        </w:trPr>
        <w:tc>
          <w:tcPr>
            <w:tcW w:w="7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net</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r>
      <w:tr>
        <w:trPr>
          <w:trHeight w:val="228"/>
        </w:trPr>
        <w:tc>
          <w:tcPr>
            <w:tcW w:w="722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228"/>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Billings transferred to accounts receivable</w:t>
            </w: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7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12/31/2021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r>
    </w:tbl>
    <w:p>
      <w:pPr>
        <w:spacing w:after="0" w:line="34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6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2021, the aggregate amount of the transaction price allocated to performance obligations that are unsatisfied or partially unsatisfied for contracts with performance obligations, amount to $394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3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response to the changes in business and economic conditions arising as a result of the COVID-19 pandemic, on June 2, 2020 management committed to a restructuring plan that includes actions across our businesses and functions globally. The plan was designed to support our long-term financial resilience and simplify our operations, strengthen our competitive positioning and better serve our customers.</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this action, during 2021, we recognized restructuring charges of $4 million and $2 million in our Water Infrastructure and Applied Water segments, respectively. These charges included reduction of headcount across both segments. Other, less significant, restructuring actions taken in 2021 resulted in $3 million of charges during 2021 and are included in the information presented below.</w:t>
      </w:r>
    </w:p>
    <w:p>
      <w:pPr>
        <w:spacing w:after="0" w:line="9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a result of this action, during 2020, we recognized restructuring costs of $19 million, $4 million and $30 million in our Water Infrastructure, Applied Water and Measurement &amp; Control Solutions segments, respectively. These charges included reduction of headcount across all segments and asset impairments within our Measurement &amp; Control Solutions segment. Immaterial restructuring charges incurred during the first quarter of 2020 are included in the 2020 plan information presented below.</w:t>
      </w:r>
    </w:p>
    <w:p>
      <w:pPr>
        <w:spacing w:after="0" w:line="98"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During 2019, we incurred restructuring charges primarily related to an effort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4" w:name="page75"/>
    <w:bookmarkEnd w:id="74"/>
    <w:p>
      <w:pPr>
        <w:ind w:right="180"/>
        <w:spacing w:after="0" w:line="259"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3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2"/>
        </w:trPr>
        <w:tc>
          <w:tcPr>
            <w:tcW w:w="6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08"/>
        </w:trPr>
        <w:tc>
          <w:tcPr>
            <w:tcW w:w="6680" w:type="dxa"/>
            <w:vAlign w:val="bottom"/>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Lease related charges</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Other restructuring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restructuring charges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668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6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8"/>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8220" w:type="dxa"/>
            <w:vAlign w:val="bottom"/>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8"/>
        </w:trPr>
        <w:tc>
          <w:tcPr>
            <w:tcW w:w="8220" w:type="dxa"/>
            <w:vAlign w:val="bottom"/>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82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8"/>
        </w:trPr>
        <w:tc>
          <w:tcPr>
            <w:tcW w:w="822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3" w:lineRule="exact"/>
        <w:rPr>
          <w:sz w:val="20"/>
          <w:szCs w:val="20"/>
          <w:color w:val="auto"/>
        </w:rPr>
      </w:pPr>
    </w:p>
    <w:p>
      <w:pPr>
        <w:ind w:left="740" w:right="360" w:hanging="491"/>
        <w:spacing w:after="0" w:line="258" w:lineRule="auto"/>
        <w:tabs>
          <w:tab w:leader="none" w:pos="6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5" w:name="page76"/>
    <w:bookmarkEnd w:id="75"/>
    <w:p>
      <w:pPr>
        <w:ind w:right="240"/>
        <w:spacing w:after="0" w:line="234"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2020 and 2021 restructuring actions:</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4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8"/>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8"/>
        </w:trPr>
        <w:tc>
          <w:tcPr>
            <w:tcW w:w="4060" w:type="dxa"/>
            <w:vAlign w:val="bottom"/>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7"/>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third quarter of 2021, we recorded an adjustment of $3 million to decrease the liability within the Measurement &amp; Control Solutions segment, related to actions commenced in 2019. As a result of this adjustment, the estimated total cost of the actions commenced in 2019 decreased to $24 million for the Measurement &amp; Control Solutions segment. The actions commenced in 2019 are complete.</w:t>
      </w:r>
    </w:p>
    <w:p>
      <w:pPr>
        <w:spacing w:after="0" w:line="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These actions are expected to continue through the end of 2022.</w:t>
      </w:r>
    </w:p>
    <w:p>
      <w:pPr>
        <w:spacing w:after="0" w:line="91"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The Water Infrastructure, Applied Water, and Measurement &amp; Control Solutions actions commenced in 2020 consist primarily of severance charges across segments and asset impairment charges in our Measurement &amp; Control Solutions segment. These actions are complete.</w:t>
      </w:r>
    </w:p>
    <w:p>
      <w:pPr>
        <w:spacing w:after="0" w:line="67"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3"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During the third quarter of 2020, we determined that certain assets including software and proprietary technology within our Measurement &amp; Control Solutions segment were impaired. Accordingly, we recognized an impairment charge of $11 million. Refer to Note 12, "Goodwill and Other Intangible Assets," for additional information.</w:t>
      </w:r>
    </w:p>
    <w:p>
      <w:pPr>
        <w:spacing w:after="0" w:line="9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12, "Goodwill and Other Intangible Assets," for additional information.</w:t>
      </w:r>
    </w:p>
    <w:p>
      <w:pPr>
        <w:spacing w:after="0" w:line="8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During the third quarter of 2019, we determined that certain assets within our Measurement &amp; Control Solutions segment, including customer relationships, internally developed software, proprietary technology, and plant property &amp; equipment, were impaired. Accordingly, we recognized an impairment charge of $7 million. Refer to Note 12, "Goodwill and Other Intangible Assets," for additional information.</w:t>
      </w:r>
    </w:p>
    <w:p>
      <w:pPr>
        <w:spacing w:after="0" w:line="21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a customer relationship, were impaired. Accordingly, we recognized an impairment charge of $3 million. Refer to Note 12, "Goodwill and Other Intangible Assets,"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6. Other Non-Operating (Expense) Income,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r>
      <w:tr>
        <w:trPr>
          <w:trHeight w:val="182"/>
        </w:trPr>
        <w:tc>
          <w:tcPr>
            <w:tcW w:w="66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2019</w:t>
            </w:r>
          </w:p>
        </w:tc>
      </w:tr>
      <w:tr>
        <w:trPr>
          <w:trHeight w:val="222"/>
        </w:trPr>
        <w:tc>
          <w:tcPr>
            <w:tcW w:w="66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2"/>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non-operating (expense)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8"/>
                <w:szCs w:val="18"/>
                <w:color w:val="auto"/>
              </w:rPr>
              <w:t>Income (loss) components:</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w:t>
            </w:r>
          </w:p>
        </w:tc>
        <w:tc>
          <w:tcPr>
            <w:tcW w:w="2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511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tax expense components:</w:t>
            </w:r>
          </w:p>
        </w:tc>
        <w:tc>
          <w:tcPr>
            <w:tcW w:w="2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12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16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w:t>
            </w:r>
          </w:p>
        </w:tc>
        <w:tc>
          <w:tcPr>
            <w:tcW w:w="2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2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16.3 %</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40" w:type="dxa"/>
            <w:vAlign w:val="bottom"/>
            <w:vMerge w:val="restart"/>
          </w:tcPr>
          <w:p>
            <w:pPr>
              <w:jc w:val="right"/>
              <w:ind w:right="553"/>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9"/>
        </w:trPr>
        <w:tc>
          <w:tcPr>
            <w:tcW w:w="4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7" w:name="page78"/>
    <w:bookmarkEnd w:id="77"/>
    <w:p>
      <w:pPr>
        <w:ind w:right="60"/>
        <w:spacing w:after="0" w:line="259" w:lineRule="auto"/>
        <w:rPr>
          <w:sz w:val="20"/>
          <w:szCs w:val="20"/>
          <w:color w:val="auto"/>
        </w:rPr>
      </w:pPr>
      <w:r>
        <w:rPr>
          <w:rFonts w:ascii="Arial" w:cs="Arial" w:eastAsia="Arial" w:hAnsi="Arial"/>
          <w:sz w:val="18"/>
          <w:szCs w:val="18"/>
          <w:color w:val="auto"/>
        </w:rPr>
        <w:t>Reconciliations between taxes at the U.S. federal income tax rate and taxes at our effective income tax rate on earnings before income taxes are as follows:</w:t>
      </w:r>
    </w:p>
    <w:p>
      <w:pPr>
        <w:spacing w:after="0" w:line="213"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6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color w:val="auto"/>
              </w:rPr>
              <w:t>2019</w:t>
            </w:r>
          </w:p>
        </w:tc>
      </w:tr>
      <w:tr>
        <w:trPr>
          <w:trHeight w:val="222"/>
        </w:trPr>
        <w:tc>
          <w:tcPr>
            <w:tcW w:w="636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28"/>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Valuation allowance</w:t>
            </w: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9"/>
                <w:szCs w:val="19"/>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1.2</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interest deductions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Foreign income taxed at different rates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0.7</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tax on foreign earnings</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w:t>
            </w: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Tax incentives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(9.6)</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change</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(18.1)</w:t>
            </w: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7.8</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R&amp;D tax credit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r>
      <w:tr>
        <w:trPr>
          <w:trHeight w:val="228"/>
        </w:trPr>
        <w:tc>
          <w:tcPr>
            <w:tcW w:w="7300" w:type="dxa"/>
            <w:vAlign w:val="bottom"/>
            <w:gridSpan w:val="2"/>
          </w:tcPr>
          <w:p>
            <w:pPr>
              <w:ind w:left="140"/>
              <w:spacing w:after="0"/>
              <w:rPr>
                <w:sz w:val="20"/>
                <w:szCs w:val="20"/>
                <w:color w:val="auto"/>
              </w:rPr>
            </w:pPr>
            <w:r>
              <w:rPr>
                <w:rFonts w:ascii="Arial" w:cs="Arial" w:eastAsia="Arial" w:hAnsi="Arial"/>
                <w:sz w:val="18"/>
                <w:szCs w:val="18"/>
                <w:color w:val="auto"/>
              </w:rPr>
              <w:t>Stock compensation</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19"/>
                <w:szCs w:val="19"/>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22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Other—net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r>
      <w:tr>
        <w:trPr>
          <w:trHeight w:val="222"/>
        </w:trPr>
        <w:tc>
          <w:tcPr>
            <w:tcW w:w="636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16.3 %</w:t>
            </w: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0"/>
        </w:trPr>
        <w:tc>
          <w:tcPr>
            <w:tcW w:w="6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8"/>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7"/>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820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2021, a valuation allowance of $201 million has been established to reduce the deferred income tax asset related to certain U.S. and foreign net operating losses and U.S. and foreign capital loss carryforwards.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2019</w:t>
            </w: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8"/>
        </w:trPr>
        <w:tc>
          <w:tcPr>
            <w:tcW w:w="6640" w:type="dxa"/>
            <w:vAlign w:val="bottom"/>
          </w:tcPr>
          <w:p>
            <w:pPr>
              <w:ind w:left="140"/>
              <w:spacing w:after="0"/>
              <w:rPr>
                <w:sz w:val="20"/>
                <w:szCs w:val="20"/>
                <w:color w:val="auto"/>
              </w:rPr>
            </w:pPr>
            <w:r>
              <w:rPr>
                <w:rFonts w:ascii="Arial" w:cs="Arial" w:eastAsia="Arial" w:hAnsi="Arial"/>
                <w:sz w:val="18"/>
                <w:szCs w:val="18"/>
                <w:color w:val="auto"/>
              </w:rPr>
              <w:t xml:space="preserve">Change in assessment </w:t>
            </w:r>
            <w:r>
              <w:rPr>
                <w:rFonts w:ascii="Arial" w:cs="Arial" w:eastAsia="Arial" w:hAnsi="Arial"/>
                <w:sz w:val="12"/>
                <w:szCs w:val="12"/>
                <w:color w:val="auto"/>
              </w:rPr>
              <w:t>(a)</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6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Foreign currency and other </w:t>
            </w:r>
            <w:r>
              <w:rPr>
                <w:rFonts w:ascii="Arial" w:cs="Arial" w:eastAsia="Arial" w:hAnsi="Arial"/>
                <w:sz w:val="14"/>
                <w:szCs w:val="14"/>
                <w:color w:val="auto"/>
              </w:rPr>
              <w:t>(b)</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6640" w:type="dxa"/>
            <w:vAlign w:val="bottom"/>
          </w:tcPr>
          <w:p>
            <w:pPr>
              <w:ind w:left="20"/>
              <w:spacing w:after="0"/>
              <w:rPr>
                <w:sz w:val="20"/>
                <w:szCs w:val="20"/>
                <w:color w:val="auto"/>
              </w:rPr>
            </w:pPr>
            <w:r>
              <w:rPr>
                <w:rFonts w:ascii="Arial" w:cs="Arial" w:eastAsia="Arial" w:hAnsi="Arial"/>
                <w:sz w:val="18"/>
                <w:szCs w:val="18"/>
                <w:color w:val="auto"/>
              </w:rPr>
              <w:t>Valuation allowance — December 31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00" w:right="800" w:hanging="412"/>
        <w:spacing w:after="0" w:line="258" w:lineRule="auto"/>
        <w:tabs>
          <w:tab w:leader="none" w:pos="4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 in assessment in 2020 is primarily attributable to loss positions in various jurisdictions. Decrease in assessment in 2019 is primarily attributable to profitability of certain jurisdictions.</w:t>
      </w:r>
    </w:p>
    <w:p>
      <w:pPr>
        <w:spacing w:after="0" w:line="88" w:lineRule="exact"/>
        <w:rPr>
          <w:rFonts w:ascii="Arial" w:cs="Arial" w:eastAsia="Arial" w:hAnsi="Arial"/>
          <w:sz w:val="16"/>
          <w:szCs w:val="16"/>
          <w:color w:val="auto"/>
        </w:rPr>
      </w:pPr>
    </w:p>
    <w:p>
      <w:pPr>
        <w:ind w:left="500" w:right="200" w:hanging="412"/>
        <w:spacing w:after="0" w:line="258" w:lineRule="auto"/>
        <w:tabs>
          <w:tab w:leader="none" w:pos="4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Included in foreign currency and other in 2019 is a decrease in net operating losses due primarily to the liquidation of a foreign subsidiary for which a valuation allowance was maintained.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8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40" w:type="dxa"/>
            <w:vAlign w:val="bottom"/>
          </w:tcPr>
          <w:p>
            <w:pPr>
              <w:ind w:left="340"/>
              <w:spacing w:after="0"/>
              <w:rPr>
                <w:sz w:val="20"/>
                <w:szCs w:val="20"/>
                <w:color w:val="auto"/>
              </w:rPr>
            </w:pPr>
            <w:r>
              <w:rPr>
                <w:rFonts w:ascii="Arial" w:cs="Arial" w:eastAsia="Arial" w:hAnsi="Arial"/>
                <w:sz w:val="18"/>
                <w:szCs w:val="18"/>
                <w:color w:val="auto"/>
              </w:rPr>
              <w:t>Total net deferred tax liabilities</w:t>
            </w:r>
          </w:p>
        </w:tc>
        <w:tc>
          <w:tcPr>
            <w:tcW w:w="38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860" w:type="dxa"/>
            <w:vAlign w:val="bottom"/>
            <w:vMerge w:val="restart"/>
          </w:tcPr>
          <w:p>
            <w:pPr>
              <w:jc w:val="right"/>
              <w:ind w:right="2199"/>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9"/>
        </w:trPr>
        <w:tc>
          <w:tcPr>
            <w:tcW w:w="41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4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First Year of Expiration</w:t>
            </w:r>
          </w:p>
        </w:tc>
      </w:tr>
      <w:tr>
        <w:trPr>
          <w:trHeight w:val="222"/>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2025</w:t>
            </w:r>
          </w:p>
        </w:tc>
      </w:tr>
      <w:tr>
        <w:trPr>
          <w:trHeight w:val="228"/>
        </w:trPr>
        <w:tc>
          <w:tcPr>
            <w:tcW w:w="6740" w:type="dxa"/>
            <w:vAlign w:val="bottom"/>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2024</w:t>
            </w:r>
          </w:p>
        </w:tc>
      </w:tr>
      <w:tr>
        <w:trPr>
          <w:trHeight w:val="22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r>
      <w:tr>
        <w:trPr>
          <w:trHeight w:val="228"/>
        </w:trPr>
        <w:tc>
          <w:tcPr>
            <w:tcW w:w="6740" w:type="dxa"/>
            <w:vAlign w:val="bottom"/>
          </w:tcPr>
          <w:p>
            <w:pPr>
              <w:ind w:left="20"/>
              <w:spacing w:after="0"/>
              <w:rPr>
                <w:sz w:val="20"/>
                <w:szCs w:val="20"/>
                <w:color w:val="auto"/>
              </w:rPr>
            </w:pPr>
            <w:r>
              <w:rPr>
                <w:rFonts w:ascii="Arial" w:cs="Arial" w:eastAsia="Arial" w:hAnsi="Arial"/>
                <w:sz w:val="18"/>
                <w:szCs w:val="18"/>
                <w:color w:val="auto"/>
              </w:rPr>
              <w:t>State tax credits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8"/>
              </w:rPr>
              <w:t>Indefinite</w:t>
            </w:r>
          </w:p>
        </w:tc>
      </w:tr>
      <w:tr>
        <w:trPr>
          <w:trHeight w:val="22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December 31, 2030</w:t>
            </w:r>
          </w:p>
        </w:tc>
      </w:tr>
    </w:tbl>
    <w:p>
      <w:pPr>
        <w:spacing w:after="0" w:line="20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of December 31, 2021, the Company has provided a deferred tax liability of $4 million for net foreign withholding taxes and state income taxes on $591 million of foreign earnings expected to be repatriated to the U.S. parent. The Company currently does not intend to repatriate approximately $1.5 billion of foreign earnings. The amount of deferred tax that would be recorded if such amounts were repatriated is not practicable.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Gross Increases - Current year tax positions</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Prior year tax positions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Gross Decreases - Prior year tax positions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680" w:type="dxa"/>
            <w:vAlign w:val="bottom"/>
          </w:tcPr>
          <w:p>
            <w:pPr>
              <w:ind w:left="20"/>
              <w:spacing w:after="0"/>
              <w:rPr>
                <w:sz w:val="20"/>
                <w:szCs w:val="20"/>
                <w:color w:val="auto"/>
              </w:rPr>
            </w:pPr>
            <w:r>
              <w:rPr>
                <w:rFonts w:ascii="Arial" w:cs="Arial" w:eastAsia="Arial" w:hAnsi="Arial"/>
                <w:sz w:val="18"/>
                <w:szCs w:val="18"/>
                <w:color w:val="auto"/>
              </w:rPr>
              <w:t>Unrecognized tax benefits — December 31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amount of unrecognized tax benefits at December 31, 2021 which, if ultimately recognized, will reduce our effective tax rate is $111 million. We believe that it is reasonably possible that unrecognized tax benefits will be reduced by approximately $3 million within the next 12 months as a result of the expiration of certain statute of limitations.</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as of December 31, 2021 and 2020 was $9 million and $8 million.</w:t>
      </w:r>
    </w:p>
    <w:p>
      <w:pPr>
        <w:spacing w:after="0" w:line="9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however, there can be no assurance that any final determination by the authorities will not be materially different than our position. As of December 31, 2021, we have not recorded any unrecognized tax benefits related to this uncertain tax position.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34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2"/>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r>
      <w:tr>
        <w:trPr>
          <w:trHeight w:val="228"/>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28"/>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28"/>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2012</w:t>
            </w:r>
          </w:p>
        </w:tc>
      </w:tr>
      <w:tr>
        <w:trPr>
          <w:trHeight w:val="228"/>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r>
      <w:tr>
        <w:trPr>
          <w:trHeight w:val="228"/>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28"/>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8. Earnings Per Share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2019</w:t>
            </w:r>
          </w:p>
        </w:tc>
      </w:tr>
      <w:tr>
        <w:trPr>
          <w:trHeight w:val="222"/>
        </w:trPr>
        <w:tc>
          <w:tcPr>
            <w:tcW w:w="6640" w:type="dxa"/>
            <w:vAlign w:val="bottom"/>
          </w:tcPr>
          <w:p>
            <w:pPr>
              <w:ind w:left="20"/>
              <w:spacing w:after="0"/>
              <w:rPr>
                <w:sz w:val="20"/>
                <w:szCs w:val="20"/>
                <w:color w:val="auto"/>
              </w:rPr>
            </w:pPr>
            <w:r>
              <w:rPr>
                <w:rFonts w:ascii="Arial" w:cs="Arial" w:eastAsia="Arial" w:hAnsi="Arial"/>
                <w:sz w:val="18"/>
                <w:szCs w:val="18"/>
                <w:color w:val="auto"/>
              </w:rPr>
              <w:t>Net income (in millions)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08"/>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8"/>
        </w:trPr>
        <w:tc>
          <w:tcPr>
            <w:tcW w:w="6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180,225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179,958</w:t>
            </w:r>
          </w:p>
        </w:tc>
      </w:tr>
      <w:tr>
        <w:trPr>
          <w:trHeight w:val="228"/>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180,247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179,987</w:t>
            </w:r>
          </w:p>
        </w:tc>
      </w:tr>
      <w:tr>
        <w:trPr>
          <w:trHeight w:val="208"/>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664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8"/>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2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181,526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181,196</w:t>
            </w:r>
          </w:p>
        </w:tc>
      </w:tr>
      <w:tr>
        <w:trPr>
          <w:trHeight w:val="222"/>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8"/>
        </w:trPr>
        <w:tc>
          <w:tcPr>
            <w:tcW w:w="66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r>
    </w:tbl>
    <w:p>
      <w:pPr>
        <w:spacing w:after="0" w:line="190" w:lineRule="exact"/>
        <w:rPr>
          <w:sz w:val="20"/>
          <w:szCs w:val="20"/>
          <w:color w:val="auto"/>
        </w:rPr>
      </w:pPr>
    </w:p>
    <w:p>
      <w:pPr>
        <w:ind w:left="420" w:right="660" w:hanging="413"/>
        <w:spacing w:after="0" w:line="253" w:lineRule="auto"/>
        <w:tabs>
          <w:tab w:leader="none" w:pos="4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Restricted stock awards containing rights to non-forfeitable dividends that participate in undistributed earnings with common shareholders are considered participating securities for purposes of computing EPS.</w:t>
      </w:r>
    </w:p>
    <w:p>
      <w:pPr>
        <w:spacing w:after="0" w:line="93" w:lineRule="exact"/>
        <w:rPr>
          <w:rFonts w:ascii="Arial" w:cs="Arial" w:eastAsia="Arial" w:hAnsi="Arial"/>
          <w:sz w:val="15"/>
          <w:szCs w:val="15"/>
          <w:color w:val="auto"/>
        </w:rPr>
      </w:pPr>
    </w:p>
    <w:p>
      <w:pPr>
        <w:ind w:left="420" w:right="40" w:hanging="413"/>
        <w:spacing w:after="0" w:line="247" w:lineRule="auto"/>
        <w:tabs>
          <w:tab w:leader="none" w:pos="4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17, "Share-Based Compensation Plans" for further detail on the performance share units</w:t>
      </w:r>
      <w:r>
        <w:rPr>
          <w:rFonts w:ascii="Arial" w:cs="Arial" w:eastAsia="Arial" w:hAnsi="Arial"/>
          <w:sz w:val="17"/>
          <w:szCs w:val="17"/>
          <w:color w:val="auto"/>
        </w:rPr>
        <w:t>.</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Borders>
              <w:bottom w:val="single" w:sz="8" w:color="auto"/>
            </w:tcBorders>
          </w:tcPr>
          <w:p>
            <w:pPr>
              <w:spacing w:after="0"/>
              <w:rPr>
                <w:sz w:val="16"/>
                <w:szCs w:val="16"/>
                <w:color w:val="auto"/>
              </w:rPr>
            </w:pPr>
          </w:p>
        </w:tc>
      </w:tr>
      <w:tr>
        <w:trPr>
          <w:trHeight w:val="182"/>
        </w:trPr>
        <w:tc>
          <w:tcPr>
            <w:tcW w:w="5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7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7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2019</w:t>
            </w: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Stock options</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1,132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1,383</w:t>
            </w:r>
          </w:p>
        </w:tc>
      </w:tr>
      <w:tr>
        <w:trPr>
          <w:trHeight w:val="214"/>
        </w:trPr>
        <w:tc>
          <w:tcPr>
            <w:tcW w:w="54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760" w:type="dxa"/>
            <w:vAlign w:val="bottom"/>
          </w:tcPr>
          <w:p>
            <w:pPr>
              <w:jc w:val="right"/>
              <w:ind w:right="2"/>
              <w:spacing w:after="0"/>
              <w:rPr>
                <w:sz w:val="20"/>
                <w:szCs w:val="20"/>
                <w:color w:val="auto"/>
              </w:rPr>
            </w:pPr>
            <w:r>
              <w:rPr>
                <w:rFonts w:ascii="Arial" w:cs="Arial" w:eastAsia="Arial" w:hAnsi="Arial"/>
                <w:sz w:val="16"/>
                <w:szCs w:val="16"/>
                <w:b w:val="1"/>
                <w:bCs w:val="1"/>
                <w:color w:val="auto"/>
              </w:rPr>
              <w:t>271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348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Performance share units</w:t>
            </w:r>
          </w:p>
        </w:tc>
        <w:tc>
          <w:tcPr>
            <w:tcW w:w="176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330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394</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w:t>
            </w:r>
          </w:p>
        </w:tc>
      </w:tr>
      <w:tr>
        <w:trPr>
          <w:trHeight w:val="182"/>
        </w:trPr>
        <w:tc>
          <w:tcPr>
            <w:tcW w:w="8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2020</w:t>
            </w:r>
          </w:p>
        </w:tc>
      </w:tr>
      <w:tr>
        <w:trPr>
          <w:trHeight w:val="222"/>
        </w:trPr>
        <w:tc>
          <w:tcPr>
            <w:tcW w:w="884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8"/>
        </w:trPr>
        <w:tc>
          <w:tcPr>
            <w:tcW w:w="8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 in process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8"/>
        </w:trPr>
        <w:tc>
          <w:tcPr>
            <w:tcW w:w="8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4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r>
      <w:tr>
        <w:trPr>
          <w:trHeight w:val="222"/>
        </w:trPr>
        <w:tc>
          <w:tcPr>
            <w:tcW w:w="8200" w:type="dxa"/>
            <w:vAlign w:val="bottom"/>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8200" w:type="dxa"/>
            <w:vAlign w:val="bottom"/>
          </w:tcPr>
          <w:p>
            <w:pPr>
              <w:ind w:left="34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2"/>
        </w:trPr>
        <w:tc>
          <w:tcPr>
            <w:tcW w:w="8200" w:type="dxa"/>
            <w:vAlign w:val="bottom"/>
          </w:tcPr>
          <w:p>
            <w:pPr>
              <w:ind w:left="34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$118 million, $117 million, and $117 million for 2021, 2020, and 2019,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65" w:lineRule="exact"/>
        <w:rPr>
          <w:sz w:val="20"/>
          <w:szCs w:val="20"/>
          <w:color w:val="auto"/>
        </w:rPr>
      </w:pPr>
    </w:p>
    <w:p>
      <w:pPr>
        <w:jc w:val="both"/>
        <w:ind w:right="420"/>
        <w:spacing w:after="0" w:line="254" w:lineRule="auto"/>
        <w:rPr>
          <w:sz w:val="20"/>
          <w:szCs w:val="20"/>
          <w:color w:val="auto"/>
        </w:rPr>
      </w:pPr>
      <w:r>
        <w:rPr>
          <w:rFonts w:ascii="Arial" w:cs="Arial" w:eastAsia="Arial" w:hAnsi="Arial"/>
          <w:sz w:val="18"/>
          <w:szCs w:val="18"/>
          <w:color w:val="auto"/>
        </w:rPr>
        <w:t>We did not identify any events or conditions during the 12 month period ended December 31, 2021 to indicate that a reassessment or re-measurement of our existing leases was required. There also were no impairment indicators identified during the 12 month period ended December 31, 2021 that required an impairment test for the Company’s ROU assets.</w:t>
      </w:r>
    </w:p>
    <w:p>
      <w:pPr>
        <w:spacing w:after="0" w:line="17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current lease liabilities of $69 million and $63 million are included in "Accrued and other current liabilities" as of December 31, 2021 and 2020, respectively. Our non-current lease liabilities of $243 million and $216 million are included in "Other non-current accrued liabilities" as of December 31, 2021 and 2020, respectively. Our ROU asset balances are included in "Other non-current assets." The net balance of our ROU assets as of December 31, 2021 and 2020 was $304 million and $272 million, respectively. These balances include an immaterial amount related to finance leases.</w:t>
      </w:r>
    </w:p>
    <w:p>
      <w:pPr>
        <w:sectPr>
          <w:pgSz w:w="11900" w:h="16838" w:orient="portrait"/>
          <w:cols w:equalWidth="0" w:num="1">
            <w:col w:w="11240"/>
          </w:cols>
          <w:pgMar w:left="320" w:top="882"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lease cost were as follows: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cost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lease cost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Short-term lease cost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Variable lease cost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28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16"/>
                <w:szCs w:val="16"/>
                <w:color w:val="auto"/>
              </w:rPr>
            </w:pPr>
          </w:p>
        </w:tc>
      </w:tr>
      <w:tr>
        <w:trPr>
          <w:trHeight w:val="188"/>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427"/>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28"/>
        </w:trPr>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38"/>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r>
      <w:tr>
        <w:trPr>
          <w:trHeight w:val="222"/>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-767080</wp:posOffset>
            </wp:positionV>
            <wp:extent cx="7132955" cy="1447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-476885</wp:posOffset>
            </wp:positionV>
            <wp:extent cx="7132955"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-4439920</wp:posOffset>
            </wp:positionH>
            <wp:positionV relativeFrom="paragraph">
              <wp:posOffset>-187325</wp:posOffset>
            </wp:positionV>
            <wp:extent cx="7132955" cy="1708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240"/>
          </w:cols>
          <w:pgMar w:left="320" w:top="8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color w:val="auto"/>
        </w:rPr>
        <w:t>The supplemental cash flow information related to leases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r>
      <w:tr>
        <w:trPr>
          <w:trHeight w:val="208"/>
        </w:trPr>
        <w:tc>
          <w:tcPr>
            <w:tcW w:w="40" w:type="dxa"/>
            <w:vAlign w:val="bottom"/>
            <w:tcBorders>
              <w:right w:val="single" w:sz="8" w:color="CCEEFF"/>
            </w:tcBorders>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684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980" w:type="dxa"/>
            <w:vAlign w:val="bottom"/>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753"/>
              <w:spacing w:after="0"/>
              <w:rPr>
                <w:sz w:val="20"/>
                <w:szCs w:val="20"/>
                <w:color w:val="auto"/>
              </w:rPr>
            </w:pPr>
            <w:r>
              <w:rPr>
                <w:rFonts w:ascii="Arial" w:cs="Arial" w:eastAsia="Arial" w:hAnsi="Arial"/>
                <w:sz w:val="18"/>
                <w:szCs w:val="18"/>
                <w:color w:val="auto"/>
                <w:w w:val="99"/>
              </w:rPr>
              <w:t>73</w:t>
            </w:r>
          </w:p>
        </w:tc>
        <w:tc>
          <w:tcPr>
            <w:tcW w:w="20" w:type="dxa"/>
            <w:vAlign w:val="bottom"/>
          </w:tcPr>
          <w:p>
            <w:pPr>
              <w:spacing w:after="0"/>
              <w:rPr>
                <w:sz w:val="19"/>
                <w:szCs w:val="19"/>
                <w:color w:val="auto"/>
              </w:rPr>
            </w:pPr>
          </w:p>
        </w:tc>
      </w:tr>
      <w:tr>
        <w:trPr>
          <w:trHeight w:val="228"/>
        </w:trPr>
        <w:tc>
          <w:tcPr>
            <w:tcW w:w="40" w:type="dxa"/>
            <w:vAlign w:val="bottom"/>
            <w:tcBorders>
              <w:right w:val="single" w:sz="8" w:color="CCEEFF"/>
            </w:tcBorders>
            <w:shd w:val="clear" w:color="auto" w:fill="CCEEFF"/>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40" w:type="dxa"/>
            <w:vAlign w:val="bottom"/>
            <w:tcBorders>
              <w:right w:val="single" w:sz="8" w:color="CCEEFF"/>
            </w:tcBorders>
            <w:shd w:val="clear" w:color="auto" w:fill="CCEEFF"/>
          </w:tcPr>
          <w:p>
            <w:pPr>
              <w:spacing w:after="0"/>
              <w:rPr>
                <w:sz w:val="19"/>
                <w:szCs w:val="19"/>
                <w:color w:val="auto"/>
              </w:rPr>
            </w:pPr>
          </w:p>
        </w:tc>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33</w:t>
            </w:r>
          </w:p>
        </w:tc>
        <w:tc>
          <w:tcPr>
            <w:tcW w:w="20" w:type="dxa"/>
            <w:vAlign w:val="bottom"/>
            <w:shd w:val="clear" w:color="auto" w:fill="CCEEFF"/>
          </w:tcPr>
          <w:p>
            <w:pPr>
              <w:spacing w:after="0"/>
              <w:rPr>
                <w:sz w:val="19"/>
                <w:szCs w:val="19"/>
                <w:color w:val="auto"/>
              </w:rPr>
            </w:pPr>
          </w:p>
        </w:tc>
      </w:tr>
      <w:tr>
        <w:trPr>
          <w:trHeight w:val="484"/>
        </w:trPr>
        <w:tc>
          <w:tcPr>
            <w:tcW w:w="688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0"/>
        </w:trPr>
        <w:tc>
          <w:tcPr>
            <w:tcW w:w="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40" w:type="dxa"/>
            <w:vAlign w:val="bottom"/>
          </w:tcPr>
          <w:p>
            <w:pPr>
              <w:spacing w:after="0"/>
              <w:rPr>
                <w:sz w:val="16"/>
                <w:szCs w:val="16"/>
                <w:color w:val="auto"/>
              </w:rPr>
            </w:pPr>
          </w:p>
        </w:tc>
        <w:tc>
          <w:tcPr>
            <w:tcW w:w="68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 Years</w:t>
            </w:r>
          </w:p>
        </w:tc>
        <w:tc>
          <w:tcPr>
            <w:tcW w:w="30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7 Years</w:t>
            </w:r>
          </w:p>
        </w:tc>
      </w:tr>
      <w:tr>
        <w:trPr>
          <w:trHeight w:val="228"/>
        </w:trPr>
        <w:tc>
          <w:tcPr>
            <w:tcW w:w="40" w:type="dxa"/>
            <w:vAlign w:val="bottom"/>
          </w:tcPr>
          <w:p>
            <w:pPr>
              <w:spacing w:after="0"/>
              <w:rPr>
                <w:sz w:val="19"/>
                <w:szCs w:val="19"/>
                <w:color w:val="auto"/>
              </w:rPr>
            </w:pPr>
          </w:p>
        </w:tc>
        <w:tc>
          <w:tcPr>
            <w:tcW w:w="6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484"/>
        </w:trPr>
        <w:tc>
          <w:tcPr>
            <w:tcW w:w="6880" w:type="dxa"/>
            <w:vAlign w:val="bottom"/>
            <w:gridSpan w:val="2"/>
          </w:tcPr>
          <w:p>
            <w:pPr>
              <w:spacing w:after="0"/>
              <w:rPr>
                <w:sz w:val="20"/>
                <w:szCs w:val="20"/>
                <w:color w:val="auto"/>
              </w:rPr>
            </w:pPr>
            <w:r>
              <w:rPr>
                <w:rFonts w:ascii="Arial" w:cs="Arial" w:eastAsia="Arial" w:hAnsi="Arial"/>
                <w:sz w:val="18"/>
                <w:szCs w:val="18"/>
                <w:color w:val="auto"/>
              </w:rPr>
              <w:t>As of December 31, 2021, the maturities of operating lease liabilities were as follows: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9"/>
        </w:trPr>
        <w:tc>
          <w:tcPr>
            <w:tcW w:w="40" w:type="dxa"/>
            <w:vAlign w:val="bottom"/>
          </w:tcPr>
          <w:p>
            <w:pPr>
              <w:spacing w:after="0"/>
              <w:rPr>
                <w:sz w:val="24"/>
                <w:szCs w:val="24"/>
                <w:color w:val="auto"/>
              </w:rPr>
            </w:pPr>
          </w:p>
        </w:tc>
        <w:tc>
          <w:tcPr>
            <w:tcW w:w="6840" w:type="dxa"/>
            <w:vAlign w:val="bottom"/>
          </w:tcPr>
          <w:p>
            <w:pPr>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 w:type="dxa"/>
            <w:vAlign w:val="bottom"/>
            <w:tcBorders>
              <w:right w:val="single" w:sz="8" w:color="CCEEFF"/>
            </w:tcBorders>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r>
      <w:tr>
        <w:trPr>
          <w:trHeight w:val="228"/>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28"/>
        </w:trPr>
        <w:tc>
          <w:tcPr>
            <w:tcW w:w="40" w:type="dxa"/>
            <w:vAlign w:val="bottom"/>
            <w:tcBorders>
              <w:right w:val="single" w:sz="8" w:color="CCEEFF"/>
            </w:tcBorders>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28"/>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8"/>
        </w:trPr>
        <w:tc>
          <w:tcPr>
            <w:tcW w:w="40" w:type="dxa"/>
            <w:vAlign w:val="bottom"/>
            <w:tcBorders>
              <w:right w:val="single" w:sz="8" w:color="CCEEFF"/>
            </w:tcBorders>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r>
      <w:tr>
        <w:trPr>
          <w:trHeight w:val="222"/>
        </w:trPr>
        <w:tc>
          <w:tcPr>
            <w:tcW w:w="40" w:type="dxa"/>
            <w:vAlign w:val="bottom"/>
            <w:tcBorders>
              <w:right w:val="single" w:sz="8" w:color="CCEEFF"/>
            </w:tcBorders>
          </w:tcPr>
          <w:p>
            <w:pPr>
              <w:spacing w:after="0"/>
              <w:rPr>
                <w:sz w:val="19"/>
                <w:szCs w:val="19"/>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9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13"/>
              <w:spacing w:after="0"/>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9"/>
                <w:szCs w:val="19"/>
                <w:color w:val="auto"/>
              </w:rPr>
            </w:pPr>
          </w:p>
        </w:tc>
      </w:tr>
      <w:tr>
        <w:trPr>
          <w:trHeight w:val="242"/>
        </w:trPr>
        <w:tc>
          <w:tcPr>
            <w:tcW w:w="40" w:type="dxa"/>
            <w:vAlign w:val="bottom"/>
            <w:tcBorders>
              <w:right w:val="single" w:sz="8" w:color="CCEEFF"/>
            </w:tcBorders>
          </w:tcPr>
          <w:p>
            <w:pPr>
              <w:spacing w:after="0"/>
              <w:rPr>
                <w:sz w:val="21"/>
                <w:szCs w:val="21"/>
                <w:color w:val="auto"/>
              </w:rPr>
            </w:pPr>
          </w:p>
        </w:tc>
        <w:tc>
          <w:tcPr>
            <w:tcW w:w="6840" w:type="dxa"/>
            <w:vAlign w:val="bottom"/>
            <w:shd w:val="clear" w:color="auto" w:fill="CCEEFF"/>
          </w:tcPr>
          <w:p>
            <w:pPr>
              <w:ind w:left="140"/>
              <w:spacing w:after="0" w:line="222"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3" w:lineRule="exact"/>
        <w:rPr>
          <w:sz w:val="20"/>
          <w:szCs w:val="20"/>
          <w:color w:val="auto"/>
        </w:rPr>
      </w:pPr>
    </w:p>
    <w:p>
      <w:pPr>
        <w:ind w:left="180" w:hanging="173"/>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Excludes $8 million of legally binding minimum lease payments for leases signed but not yet commenced. Lease payments are expected to begin in 2022.</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addition to manufacturing and selling equipment, we also lease equipment to customers in exchange for consideration. These arrangements are generally short term in nature and predominantly involve the rental of pumps and accessories within the Water Infrastructure segment. Rental arrangements generally do not provide the customer the right to purchase the equipment as Xylem’s strategy is to rent these items over their useful lives. Customers may be billed based on daily, weekly or monthly rates depending on the expected rental period. We assessed that these arrangements constitute a lease under ASC 842, and have recognized them as operating leases. In situations where arrangements contain both the sale of products and a leasing component, contract consideration is allocated based on relative standalone selling price.</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revenue from lease arrangements was $197 million, $195 million and $247 million for the 12-month period ended December 31, 2021, 2020 and 2019, respectively. Our gross assets available for rent were $251 million and $ 241 million as of December 31, 2021 and 2020, respectively. The accumulated amortization related to our gross assets was $158 million and $159 million as of December 31, 2021 and 2020, respectively. Depreciation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for these assets was $24 million, $25 million and $28 million for the 12 month period ended December 31, 2021, 2020 and 2019,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during the years ended December 31, 2021 and 2020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Water</w:t>
            </w:r>
          </w:p>
        </w:tc>
        <w:tc>
          <w:tcPr>
            <w:tcW w:w="16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color w:val="auto"/>
              </w:rPr>
              <w:t>Applied Water</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rPr>
              <w:t>Measurement &amp;</w:t>
            </w:r>
          </w:p>
        </w:tc>
        <w:tc>
          <w:tcPr>
            <w:tcW w:w="28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0"/>
        </w:trPr>
        <w:tc>
          <w:tcPr>
            <w:tcW w:w="5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Infrastructure</w:t>
            </w: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color w:val="auto"/>
              </w:rPr>
              <w:t>Control Solutions</w:t>
            </w: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i w:val="1"/>
                <w:iCs w:val="1"/>
                <w:color w:val="auto"/>
              </w:rPr>
              <w:t>Activity in 2020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8"/>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8"/>
                <w:szCs w:val="18"/>
                <w:i w:val="1"/>
                <w:iCs w:val="1"/>
                <w:color w:val="auto"/>
              </w:rPr>
              <w:t>Activity in 2021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22"/>
        </w:trPr>
        <w:tc>
          <w:tcPr>
            <w:tcW w:w="578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2021 and 2020, goodwill included accumulated impairment losses of $206 million, within the Measurement &amp; Control Solutions segment.</w:t>
      </w:r>
    </w:p>
    <w:p>
      <w:pPr>
        <w:spacing w:after="0" w:line="9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fourth quarter of 2021,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 basis as of the beginning of our fourth quarter and whenever events and changes in circumstances indicate there may be a potential impairment.</w:t>
      </w:r>
    </w:p>
    <w:p>
      <w:pPr>
        <w:spacing w:after="0" w:line="85"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During the third quarter of 2020, the Company recorded a goodwill impairment charge of $58 million related to the Advanced Infrastructure Analytics ("AIA") goodwill reporting unit within our Measurement &amp; Control Solutions segment. The AIA goodwill reporting unit is comprised of our assessment services business (primarily the Pure Technologies Ltd. acquisition) as well as our digital solutions business. The impairment resulted from management's updated forecast of future cash flows for the AIA businesses, which reflected significant negative volume impacts from the COVID-19 pandemic, primarily on our assessment services business. Our ongoing investment in the AIA businesses also continues to impact near term profitability. These factors drove the decrease in forecasted cash flows, and as such, the calculated fair value of the AIA goodwill reporting unit below its carrying value as of the third quarter. To determine the fair value of the AIA goodwill reporting unit, the Company used the income approach, which is considered a Level 3 input for fair value measurement. Under the income approach, the fair value of the AIA goodwill reporting unit was based on the present value of the estimated cash flows that the goodwill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AIA goodwill reporting unit.</w:t>
      </w:r>
    </w:p>
    <w:p>
      <w:pPr>
        <w:spacing w:after="0" w:line="222"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During the third quarter of 2019, the Company recorded a goodwill impairment charge of $148 million related to the AIA goodwill reporting unit. The impairment resulted from a downward revision of forecasted future cash flows. Factors that contributed to the revised forecast in the third quarter include lower than expected results as compared to prior forecasts, largely as a result of slower-than-expected conversion of pipeline opportunities to revenue. Additionally, we have continued to invest in the AIA platform ahead of the adoption curve, which has also impacted the near-term profitability of the business. These factors drove the decrease in forecasted cash flows, and as such, the calculated fair value of the AIA goodwill reporting unit below its carrying value as of the third quarter. To determine the fair value of the AIA goodwill reporting unit, the Company used the income approach, which is considered a Level 3 input for fair value measurement.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2021</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color w:val="auto"/>
              </w:rPr>
              <w:t>December 31, 2020</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8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60" w:type="dxa"/>
            <w:vAlign w:val="bottom"/>
            <w:gridSpan w:val="2"/>
          </w:tcPr>
          <w:p>
            <w:pPr>
              <w:ind w:left="140"/>
              <w:spacing w:after="0" w:line="141" w:lineRule="exact"/>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1"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1"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7"/>
        </w:trPr>
        <w:tc>
          <w:tcPr>
            <w:tcW w:w="3020" w:type="dxa"/>
            <w:vAlign w:val="bottom"/>
            <w:tcBorders>
              <w:top w:val="single" w:sz="8" w:color="CCEEFF"/>
            </w:tcBorders>
            <w:shd w:val="clear" w:color="auto" w:fill="CCEEFF"/>
          </w:tcPr>
          <w:p>
            <w:pPr>
              <w:ind w:left="140"/>
              <w:spacing w:after="0" w:line="167"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929</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8"/>
        </w:trPr>
        <w:tc>
          <w:tcPr>
            <w:tcW w:w="302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8"/>
        </w:trPr>
        <w:tc>
          <w:tcPr>
            <w:tcW w:w="30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8"/>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302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determined that no impairment of the indefinite-lived intangibles existed as of the measurement date of our impairment assessment in 2021.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9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third quarter of 2020, the Company assessed whether the carrying amounts of the AIA reporting unit’s long-lived assets may not be recoverable based on the updated forecast of future cash flows, and therefore impaired. Our assessment resulted in an impairment charge of $11 million, primarily related to software and proprietary technology. The charge was calculated using an income approach, which is considered a Level 3 input for fair value measurement, and is reflected in “Restructuring and asset impairment charges” in our Consolidated Income Statements.</w:t>
      </w:r>
    </w:p>
    <w:p>
      <w:pPr>
        <w:spacing w:after="0" w:line="10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8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During the third quarter of 2019, the Company also assessed whether the carrying amounts of the AIA reporting unit’s long-lived assets may not be recoverable based on the revised forecasted cash flows, and therefore impaired. Our assessment resulted in an impairment charge of $7 million, primarily related to customer relationships, proprietary technology, software and property, plant and equipment. The charge was calculated using an income approach, which is considered a Level 3 input for fair value measurement, and is reflected in “Restructuring and asset impairment charges” in our Consolidated Income Statements.</w:t>
      </w:r>
    </w:p>
    <w:p>
      <w:pPr>
        <w:spacing w:after="0" w:line="216"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During the first quarter of 2019, we determined that the intended use of a finite-lived customer relationship within the test application of our Measurement &amp; Control Solutions segment had changed. Accordingly we recorded a $3 million impairment charge. The charge was also calculated using the income approach, and is reflected in “Restructuring and asset impairment charges” in our Consolidated Income Statements.</w:t>
      </w:r>
    </w:p>
    <w:p>
      <w:pPr>
        <w:spacing w:after="0" w:line="9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15 years, 15 years, 13 years, 4 years and 5 years,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$127 million, $134 million, and $140 million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5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8"/>
        </w:trPr>
        <w:tc>
          <w:tcPr>
            <w:tcW w:w="5260" w:type="dxa"/>
            <w:vAlign w:val="bottom"/>
          </w:tcPr>
          <w:p>
            <w:pPr>
              <w:ind w:left="20"/>
              <w:spacing w:after="0"/>
              <w:rPr>
                <w:sz w:val="20"/>
                <w:szCs w:val="20"/>
                <w:color w:val="auto"/>
              </w:rPr>
            </w:pPr>
            <w:r>
              <w:rPr>
                <w:rFonts w:ascii="Arial" w:cs="Arial" w:eastAsia="Arial" w:hAnsi="Arial"/>
                <w:sz w:val="18"/>
                <w:szCs w:val="18"/>
                <w:color w:val="auto"/>
              </w:rPr>
              <w:t>2022</w:t>
            </w:r>
          </w:p>
        </w:tc>
        <w:tc>
          <w:tcPr>
            <w:tcW w:w="5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8"/>
        </w:trPr>
        <w:tc>
          <w:tcPr>
            <w:tcW w:w="5260" w:type="dxa"/>
            <w:vAlign w:val="bottom"/>
          </w:tcPr>
          <w:p>
            <w:pPr>
              <w:ind w:left="20"/>
              <w:spacing w:after="0"/>
              <w:rPr>
                <w:sz w:val="20"/>
                <w:szCs w:val="20"/>
                <w:color w:val="auto"/>
              </w:rPr>
            </w:pPr>
            <w:r>
              <w:rPr>
                <w:rFonts w:ascii="Arial" w:cs="Arial" w:eastAsia="Arial" w:hAnsi="Arial"/>
                <w:sz w:val="18"/>
                <w:szCs w:val="18"/>
                <w:color w:val="auto"/>
              </w:rPr>
              <w:t>2024</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2026</w:t>
            </w:r>
          </w:p>
        </w:tc>
        <w:tc>
          <w:tcPr>
            <w:tcW w:w="5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9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14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Australian Dollar and Polish Zloty. We had foreign exchange contracts with purchase notional amounts totaling $ 301 million and $0 million as of December 31, 2021 and 2020, respectively. As of December 31, 2021, our most significant foreign currency derivatives included contracts to sell U.S. Dollar and purchase Euro, purchase Swedish Krona and sell Euro, sell British Pound and purchase Euro, purchase U.S. Dollar and sell Canadian Dollar, and to sell Canadian Dollar and purchase Euro. The purchased notional amounts associated with these currency derivatives are $130 million, $88 million, $31 million, $14 million and $14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8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and $1,151 million and $1,249 million as of December 31,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$563 million and $610 million as of December 31, 2021 and 2020, respectively, net of unamortized discount, as a hedge of a net investment in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7" w:name="page88"/>
    <w:bookmarkEnd w:id="87"/>
    <w:p>
      <w:pPr>
        <w:ind w:right="740"/>
        <w:spacing w:after="0" w:line="259"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18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2019</w:t>
            </w:r>
          </w:p>
        </w:tc>
      </w:tr>
      <w:tr>
        <w:trPr>
          <w:trHeight w:val="20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8"/>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778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 (a)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 into cost of revenue (a)</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9"/>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8"/>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8"/>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8"/>
        </w:trPr>
        <w:tc>
          <w:tcPr>
            <w:tcW w:w="7780" w:type="dxa"/>
            <w:vAlign w:val="bottom"/>
          </w:tcPr>
          <w:p>
            <w:pPr>
              <w:ind w:left="220"/>
              <w:spacing w:after="0"/>
              <w:rPr>
                <w:sz w:val="20"/>
                <w:szCs w:val="20"/>
                <w:color w:val="auto"/>
              </w:rPr>
            </w:pPr>
            <w:r>
              <w:rPr>
                <w:rFonts w:ascii="Arial" w:cs="Arial" w:eastAsia="Arial" w:hAnsi="Arial"/>
                <w:sz w:val="18"/>
                <w:szCs w:val="18"/>
                <w:color w:val="auto"/>
              </w:rPr>
              <w:t>Amount of (loss) gain recognized in OCI (a)</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Effective portion</w:t>
      </w:r>
    </w:p>
    <w:p>
      <w:pPr>
        <w:spacing w:after="0" w:line="163"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As of December 31, 2021, $3 million of the net losses on cash flow hedges are expected to be reclassified into earnings in the next 12 months.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no gains or losses on the net investment hedges are expected to be reclassified into earnings over their duration.</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82"/>
        </w:trPr>
        <w:tc>
          <w:tcPr>
            <w:tcW w:w="8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2020</w:t>
            </w:r>
          </w:p>
        </w:tc>
      </w:tr>
      <w:tr>
        <w:trPr>
          <w:trHeight w:val="208"/>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8"/>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4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8"/>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8"/>
        </w:trPr>
        <w:tc>
          <w:tcPr>
            <w:tcW w:w="824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3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fair value of our long-term debt, due in 2023, designated as a net investment hedge was $577 million and $640 million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14. Accrued and Other Current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2"/>
        </w:trPr>
        <w:tc>
          <w:tcPr>
            <w:tcW w:w="820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Note 15. Credit Facilities and Debt</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6"/>
        </w:trPr>
        <w:tc>
          <w:tcPr>
            <w:tcW w:w="8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20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2"/>
        </w:trPr>
        <w:tc>
          <w:tcPr>
            <w:tcW w:w="8200" w:type="dxa"/>
            <w:vAlign w:val="bottom"/>
          </w:tcPr>
          <w:p>
            <w:pPr>
              <w:ind w:left="340"/>
              <w:spacing w:after="0"/>
              <w:rPr>
                <w:sz w:val="20"/>
                <w:szCs w:val="20"/>
                <w:color w:val="auto"/>
              </w:rPr>
            </w:pPr>
            <w:r>
              <w:rPr>
                <w:rFonts w:ascii="Arial" w:cs="Arial" w:eastAsia="Arial" w:hAnsi="Arial"/>
                <w:sz w:val="18"/>
                <w:szCs w:val="18"/>
                <w:color w:val="auto"/>
              </w:rPr>
              <w:t>4.875% Senior Notes due 2021 (a)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2.250% Senior Notes due 2023 (a)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8"/>
        </w:trPr>
        <w:tc>
          <w:tcPr>
            <w:tcW w:w="8200" w:type="dxa"/>
            <w:vAlign w:val="bottom"/>
          </w:tcPr>
          <w:p>
            <w:pPr>
              <w:ind w:left="340"/>
              <w:spacing w:after="0"/>
              <w:rPr>
                <w:sz w:val="20"/>
                <w:szCs w:val="20"/>
                <w:color w:val="auto"/>
              </w:rPr>
            </w:pPr>
            <w:r>
              <w:rPr>
                <w:rFonts w:ascii="Arial" w:cs="Arial" w:eastAsia="Arial" w:hAnsi="Arial"/>
                <w:sz w:val="18"/>
                <w:szCs w:val="18"/>
                <w:color w:val="auto"/>
              </w:rPr>
              <w:t>3.250% Senior Notes due 2026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1.950% Senior Notes due 2028 (a)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8200" w:type="dxa"/>
            <w:vAlign w:val="bottom"/>
          </w:tcPr>
          <w:p>
            <w:pPr>
              <w:ind w:left="340"/>
              <w:spacing w:after="0"/>
              <w:rPr>
                <w:sz w:val="20"/>
                <w:szCs w:val="20"/>
                <w:color w:val="auto"/>
              </w:rPr>
            </w:pPr>
            <w:r>
              <w:rPr>
                <w:rFonts w:ascii="Arial" w:cs="Arial" w:eastAsia="Arial" w:hAnsi="Arial"/>
                <w:sz w:val="18"/>
                <w:szCs w:val="18"/>
                <w:color w:val="auto"/>
              </w:rPr>
              <w:t>2.250% Senior Notes due 2031 (a)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8"/>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4.375% Senior Notes due 2046 (a)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8"/>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Debt issuance costs and unamortized discount (b)</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8"/>
        </w:trPr>
        <w:tc>
          <w:tcPr>
            <w:tcW w:w="8200" w:type="dxa"/>
            <w:vAlign w:val="bottom"/>
          </w:tcPr>
          <w:p>
            <w:pPr>
              <w:ind w:left="34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7"/>
        </w:trPr>
        <w:tc>
          <w:tcPr>
            <w:tcW w:w="8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60" w:hanging="332"/>
        <w:spacing w:after="0" w:line="247" w:lineRule="auto"/>
        <w:tabs>
          <w:tab w:leader="none" w:pos="4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$0 million and $620 million as of December 31, 2021 and 2020, respectively. The fair value of our Senior Notes due 2023 was $577 million and $640 million as of December 31, 2021 and 2020, respectively. The fair value of our Senior Notes due 2026 was $537 million and $563 million as of December 31, 2021 and 2020, respectively. The fair value of our Senior Notes due 2046 was $481 million and $496 million as of December 31, 2021 and 2020, respectively. The fair value of our Senior Notes due 2028 was $497 million and $529 million as of December 31, 2021 and 2020 respectively. The fair value of our Senior Notes due 2031 was $496 million and $527 million as of December 31, 2021 and 2020 respectively.</w:t>
      </w:r>
    </w:p>
    <w:p>
      <w:pPr>
        <w:spacing w:after="0" w:line="98" w:lineRule="exact"/>
        <w:rPr>
          <w:rFonts w:ascii="Arial" w:cs="Arial" w:eastAsia="Arial" w:hAnsi="Arial"/>
          <w:sz w:val="16"/>
          <w:szCs w:val="16"/>
          <w:color w:val="auto"/>
        </w:rPr>
      </w:pPr>
    </w:p>
    <w:p>
      <w:pPr>
        <w:ind w:left="460" w:right="120" w:hanging="332"/>
        <w:spacing w:after="0" w:line="258" w:lineRule="auto"/>
        <w:tabs>
          <w:tab w:leader="none" w:pos="4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9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unpaid interest to the date of repurchase.</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on the Green Bond is payable on January 30 and July 30 of each year beginning on January 30, 2021. As of December 31, 2021, we are in compliance with all covenants for the Green Bond.</w:t>
      </w:r>
    </w:p>
    <w:p>
      <w:pPr>
        <w:spacing w:after="0" w:line="9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10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100"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Interest on the Senior Notes due 2023 is payable on March 11 of each year. Interest on the Senior Notes due 2026 and the Senior Notes due 2046 is payable on May 1 and November 1 of each year. As of December 31, 2021, we are in compliance with all covenants for the Senior Notes.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On October 1st, 2021 our Senior Notes due 2021 were settled with cash on hand for a total of $600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1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was effective through the quarter ending September 30, 2021, after which the covenant reverted back to the prior maximum leverage ratio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0" w:name="page91"/>
    <w:bookmarkEnd w:id="90"/>
    <w:p>
      <w:pPr>
        <w:ind w:right="100"/>
        <w:spacing w:after="0" w:line="254" w:lineRule="auto"/>
        <w:rPr>
          <w:sz w:val="20"/>
          <w:szCs w:val="20"/>
          <w:color w:val="auto"/>
        </w:rPr>
      </w:pPr>
      <w:r>
        <w:rPr>
          <w:rFonts w:ascii="Arial" w:cs="Arial" w:eastAsia="Arial" w:hAnsi="Arial"/>
          <w:sz w:val="18"/>
          <w:szCs w:val="18"/>
          <w:color w:val="auto"/>
        </w:rPr>
        <w:t>test. The Amendment also restricted stock repurchases until March 31, 2021, except for shares of common stock in an amount not to exceed the number of shares issued after the date of the Amendment, subject to customary exceptions. As of December 31, 2021, the 2019 Credit Facility was undrawn and we are in compliance with all covenants.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December 31, 2021 and 2020, none of the Company's $600 million U.S. Dollar commercial paper program was outstanding. We have the ability to continue borrowing under this program going forward in future periods.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On June 3, 2019, Xylem entered into a Euro commercial paper program with ING Bank N.V., as administrative</w:t>
      </w:r>
    </w:p>
    <w:p>
      <w:pPr>
        <w:spacing w:after="0" w:line="8" w:lineRule="exact"/>
        <w:rPr>
          <w:sz w:val="20"/>
          <w:szCs w:val="20"/>
          <w:color w:val="auto"/>
        </w:rPr>
      </w:pPr>
    </w:p>
    <w:p>
      <w:pPr>
        <w:ind w:right="680"/>
        <w:spacing w:after="0" w:line="249" w:lineRule="auto"/>
        <w:rPr>
          <w:sz w:val="20"/>
          <w:szCs w:val="20"/>
          <w:color w:val="auto"/>
        </w:rPr>
      </w:pPr>
      <w:r>
        <w:rPr>
          <w:rFonts w:ascii="Arial" w:cs="Arial" w:eastAsia="Arial" w:hAnsi="Arial"/>
          <w:sz w:val="18"/>
          <w:szCs w:val="18"/>
          <w:color w:val="auto"/>
        </w:rPr>
        <w:t>agent, and a syndicate of dealers. The Euro commercial paper program provides for a maximum issuing balance of up to €500 million (approximately $564 million) which may be denominated in a variety of currencies. The</w:t>
      </w:r>
    </w:p>
    <w:p>
      <w:pPr>
        <w:ind w:right="140"/>
        <w:spacing w:after="0" w:line="254" w:lineRule="auto"/>
        <w:rPr>
          <w:sz w:val="20"/>
          <w:szCs w:val="20"/>
          <w:color w:val="auto"/>
        </w:rPr>
      </w:pPr>
      <w:r>
        <w:rPr>
          <w:rFonts w:ascii="Arial" w:cs="Arial" w:eastAsia="Arial" w:hAnsi="Arial"/>
          <w:sz w:val="18"/>
          <w:szCs w:val="18"/>
          <w:color w:val="auto"/>
        </w:rPr>
        <w:t>maximum issuing balance may be increased in accordance with the Dealer Agreement. As of December 31, 2021 and 2020,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Post-retirement Benefit Plans</w:t>
      </w:r>
    </w:p>
    <w:p>
      <w:pPr>
        <w:spacing w:after="0" w:line="115"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Defined contribution plans </w:t>
      </w:r>
      <w:r>
        <w:rPr>
          <w:rFonts w:ascii="Arial" w:cs="Arial" w:eastAsia="Arial" w:hAnsi="Arial"/>
          <w:sz w:val="17"/>
          <w:szCs w:val="17"/>
          <w:color w:val="auto"/>
        </w:rPr>
        <w:t>– Xylem and certain of our subsidiaries maintain various defined contribution savings plans, which allow</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2"/>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r>
      <w:tr>
        <w:trPr>
          <w:trHeight w:val="228"/>
        </w:trPr>
        <w:tc>
          <w:tcPr>
            <w:tcW w:w="9000" w:type="dxa"/>
            <w:vAlign w:val="bottom"/>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18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256 thousand and 267 thousand shares of Xylem Inc. common stock in the Xylem Stock Fund at December 31, 2021 and 2020, respectively.</w:t>
      </w:r>
    </w:p>
    <w:p>
      <w:pPr>
        <w:spacing w:after="0" w:line="7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Defined benefit pension plans and other post-retirement plans </w:t>
      </w:r>
      <w:r>
        <w:rPr>
          <w:rFonts w:ascii="Arial" w:cs="Arial" w:eastAsia="Arial" w:hAnsi="Arial"/>
          <w:sz w:val="18"/>
          <w:szCs w:val="18"/>
          <w:color w:val="auto"/>
        </w:rPr>
        <w:t>– We historically have maintained qualified and non-qualified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During 2021 and 2020, we made several amendments to plans that had no material impact to the Company's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1" w:name="page92"/>
    <w:bookmarkEnd w:id="91"/>
    <w:p>
      <w:pPr>
        <w:jc w:val="both"/>
        <w:spacing w:after="0" w:line="276" w:lineRule="auto"/>
        <w:rPr>
          <w:sz w:val="20"/>
          <w:szCs w:val="20"/>
          <w:color w:val="auto"/>
        </w:rPr>
      </w:pPr>
      <w:r>
        <w:rPr>
          <w:rFonts w:ascii="Arial" w:cs="Arial" w:eastAsia="Arial" w:hAnsi="Arial"/>
          <w:sz w:val="17"/>
          <w:szCs w:val="17"/>
          <w:color w:val="auto"/>
        </w:rPr>
        <w:t>Amounts recognized in the Consolidated Balance Sheets for pension and other employee-related benefit plans (collectively, "Post-retirement Plans") reflect the funded status of the post-retirement benefit plans. The following table provides a summary of the funded status of our Post-retirement Plans, the presentation of such balances and a summary of amounts recorded within accumulated other comprehensive income: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Pension</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8"/>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2"/>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20"/>
              <w:spacing w:after="0" w:line="162" w:lineRule="exact"/>
              <w:rPr>
                <w:sz w:val="20"/>
                <w:szCs w:val="20"/>
                <w:color w:val="auto"/>
              </w:rPr>
            </w:pPr>
            <w:r>
              <w:rPr>
                <w:rFonts w:ascii="Arial" w:cs="Arial" w:eastAsia="Arial" w:hAnsi="Arial"/>
                <w:sz w:val="18"/>
                <w:szCs w:val="18"/>
                <w:b w:val="1"/>
                <w:bCs w:val="1"/>
                <w:color w:val="auto"/>
              </w:rPr>
              <w:t>Amounts recognized in the balance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3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sheet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330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post-retirement benefits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2"/>
        </w:trPr>
        <w:tc>
          <w:tcPr>
            <w:tcW w:w="3300" w:type="dxa"/>
            <w:vAlign w:val="bottom"/>
          </w:tcPr>
          <w:p>
            <w:pPr>
              <w:ind w:left="140"/>
              <w:spacing w:after="0"/>
              <w:rPr>
                <w:sz w:val="20"/>
                <w:szCs w:val="20"/>
                <w:color w:val="auto"/>
              </w:rPr>
            </w:pPr>
            <w:r>
              <w:rPr>
                <w:rFonts w:ascii="Arial" w:cs="Arial" w:eastAsia="Arial" w:hAnsi="Arial"/>
                <w:sz w:val="18"/>
                <w:szCs w:val="18"/>
                <w:color w:val="auto"/>
              </w:rPr>
              <w:t>Net amount recognized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3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Accumulated other comprehensive</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00" w:type="dxa"/>
            <w:vAlign w:val="bottom"/>
          </w:tcPr>
          <w:p>
            <w:pPr>
              <w:ind w:left="140"/>
              <w:spacing w:after="0"/>
              <w:rPr>
                <w:sz w:val="20"/>
                <w:szCs w:val="20"/>
                <w:color w:val="auto"/>
              </w:rPr>
            </w:pPr>
            <w:r>
              <w:rPr>
                <w:rFonts w:ascii="Arial" w:cs="Arial" w:eastAsia="Arial" w:hAnsi="Arial"/>
                <w:sz w:val="18"/>
                <w:szCs w:val="18"/>
                <w:color w:val="auto"/>
              </w:rPr>
              <w:t>Net actuarial losses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8"/>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credit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330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unrecognized amounts recorded in accumulated other comprehensive income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be recognized as increases or decreases in other comprehensive income, net of tax.</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initiated the process for a full buy-out of its largest defined benefit plan in the U.K. in 2019. As a result of actions taken, lump sum payments of $21 million were paid out of the plan assets, and the Company recorded a settlement charge of $8 million during the third quarter of 2019. During the first quarter of 2020, the Company purchased a bulk annuity policy as a plan asset to facilitate the termination and buy-out of the plan. The bulk annuity fully insures the benefits payable to the participants of the plan until a full buy-out of the plan can be executed, which is expected to occur in 2022. On January 27, 2020, the plan's assets of $336 million were transferred to the insurance company for the purchase of the bulk annuity contract. Included in the Company's year ended December 31, 2020 contributions is $5 million paid to meet the shortfall between the cost of the bulk annuity policy and the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2" w:name="page93"/>
    <w:bookmarkEnd w:id="92"/>
    <w:p>
      <w:pPr>
        <w:ind w:right="540"/>
        <w:spacing w:after="0" w:line="259"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gridSpan w:val="3"/>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Domestic Plans</w:t>
            </w:r>
          </w:p>
        </w:tc>
        <w:tc>
          <w:tcPr>
            <w:tcW w:w="4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tcBorders>
              <w:bottom w:val="single" w:sz="8" w:color="auto"/>
            </w:tcBorders>
            <w:gridSpan w:val="4"/>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International Plans</w:t>
            </w:r>
          </w:p>
        </w:tc>
        <w:tc>
          <w:tcPr>
            <w:tcW w:w="540" w:type="dxa"/>
            <w:vAlign w:val="bottom"/>
            <w:tcBorders>
              <w:bottom w:val="single" w:sz="8" w:color="auto"/>
            </w:tcBorders>
            <w:shd w:val="clear" w:color="auto" w:fill="CCEEFF"/>
          </w:tcPr>
          <w:p>
            <w:pPr>
              <w:spacing w:after="0"/>
              <w:rPr>
                <w:sz w:val="16"/>
                <w:szCs w:val="16"/>
                <w:color w:val="auto"/>
              </w:rPr>
            </w:pPr>
          </w:p>
        </w:tc>
      </w:tr>
      <w:tr>
        <w:trPr>
          <w:trHeight w:val="182"/>
        </w:trPr>
        <w:tc>
          <w:tcPr>
            <w:tcW w:w="5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5"/>
                <w:szCs w:val="15"/>
                <w:color w:val="auto"/>
              </w:rPr>
            </w:pPr>
          </w:p>
        </w:tc>
      </w:tr>
      <w:tr>
        <w:trPr>
          <w:trHeight w:val="182"/>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shd w:val="clear" w:color="auto" w:fill="CCEEFF"/>
          </w:tcPr>
          <w:p>
            <w:pPr>
              <w:spacing w:after="0"/>
              <w:rPr>
                <w:sz w:val="15"/>
                <w:szCs w:val="15"/>
                <w:color w:val="auto"/>
              </w:rPr>
            </w:pPr>
          </w:p>
        </w:tc>
      </w:tr>
      <w:tr>
        <w:trPr>
          <w:trHeight w:val="208"/>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8"/>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28"/>
        </w:trPr>
        <w:tc>
          <w:tcPr>
            <w:tcW w:w="5160" w:type="dxa"/>
            <w:vAlign w:val="bottom"/>
          </w:tcPr>
          <w:p>
            <w:pPr>
              <w:ind w:left="34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5160" w:type="dxa"/>
            <w:vAlign w:val="bottom"/>
          </w:tcPr>
          <w:p>
            <w:pPr>
              <w:ind w:left="34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loss (gain)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8"/>
        </w:trPr>
        <w:tc>
          <w:tcPr>
            <w:tcW w:w="5160" w:type="dxa"/>
            <w:vAlign w:val="bottom"/>
          </w:tcPr>
          <w:p>
            <w:pPr>
              <w:ind w:left="34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1,032</w:t>
            </w: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28"/>
        </w:trPr>
        <w:tc>
          <w:tcPr>
            <w:tcW w:w="5160" w:type="dxa"/>
            <w:vAlign w:val="bottom"/>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578</w:t>
            </w:r>
          </w:p>
        </w:tc>
        <w:tc>
          <w:tcPr>
            <w:tcW w:w="12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8"/>
        </w:trPr>
        <w:tc>
          <w:tcPr>
            <w:tcW w:w="5160" w:type="dxa"/>
            <w:vAlign w:val="bottom"/>
          </w:tcPr>
          <w:p>
            <w:pPr>
              <w:ind w:left="340"/>
              <w:spacing w:after="0"/>
              <w:rPr>
                <w:sz w:val="20"/>
                <w:szCs w:val="20"/>
                <w:color w:val="auto"/>
              </w:rPr>
            </w:pPr>
            <w:r>
              <w:rPr>
                <w:rFonts w:ascii="Arial" w:cs="Arial" w:eastAsia="Arial" w:hAnsi="Arial"/>
                <w:sz w:val="18"/>
                <w:szCs w:val="18"/>
                <w:color w:val="auto"/>
              </w:rPr>
              <w:t>Actual return on plan assets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 paid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8"/>
        </w:trPr>
        <w:tc>
          <w:tcPr>
            <w:tcW w:w="5160" w:type="dxa"/>
            <w:vAlign w:val="bottom"/>
          </w:tcPr>
          <w:p>
            <w:pPr>
              <w:ind w:left="34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translation/other</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12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r>
      <w:tr>
        <w:trPr>
          <w:trHeight w:val="24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r>
      <w:tr>
        <w:trPr>
          <w:trHeight w:val="20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gain</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00" w:type="dxa"/>
            <w:vAlign w:val="bottom"/>
          </w:tcPr>
          <w:p>
            <w:pPr>
              <w:ind w:left="140"/>
              <w:spacing w:after="0"/>
              <w:rPr>
                <w:sz w:val="20"/>
                <w:szCs w:val="20"/>
                <w:color w:val="auto"/>
              </w:rPr>
            </w:pPr>
            <w:r>
              <w:rPr>
                <w:rFonts w:ascii="Arial" w:cs="Arial" w:eastAsia="Arial" w:hAnsi="Arial"/>
                <w:sz w:val="18"/>
                <w:szCs w:val="18"/>
                <w:color w:val="auto"/>
              </w:rPr>
              <w:t>Plan Amendment and other</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7"/>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accumulated benefit obligation (“ABO”) for all the defined benefit pension plans was $1,009 million and $1,107 million at December 31, 2021 and 2020, respectively.</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shd w:val="clear" w:color="auto" w:fill="CCEEFF"/>
          </w:tcPr>
          <w:p>
            <w:pPr>
              <w:spacing w:after="0"/>
              <w:rPr>
                <w:sz w:val="16"/>
                <w:szCs w:val="16"/>
                <w:color w:val="auto"/>
              </w:rPr>
            </w:pPr>
          </w:p>
        </w:tc>
      </w:tr>
      <w:tr>
        <w:trPr>
          <w:trHeight w:val="18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2020</w:t>
            </w:r>
          </w:p>
        </w:tc>
      </w:tr>
      <w:tr>
        <w:trPr>
          <w:trHeight w:val="222"/>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8"/>
        </w:trPr>
        <w:tc>
          <w:tcPr>
            <w:tcW w:w="82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r>
      <w:tr>
        <w:trPr>
          <w:trHeight w:val="22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3100" w:type="dxa"/>
            <w:vAlign w:val="bottom"/>
            <w:tcBorders>
              <w:bottom w:val="single" w:sz="8" w:color="auto"/>
            </w:tcBorders>
            <w:gridSpan w:val="6"/>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shd w:val="clear" w:color="auto" w:fill="CCEEFF"/>
          </w:tcPr>
          <w:p>
            <w:pPr>
              <w:spacing w:after="0"/>
              <w:rPr>
                <w:sz w:val="16"/>
                <w:szCs w:val="16"/>
                <w:color w:val="auto"/>
              </w:rPr>
            </w:pPr>
          </w:p>
        </w:tc>
      </w:tr>
      <w:tr>
        <w:trPr>
          <w:trHeight w:val="18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6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income, net" in the Consolidated Income Statements.</w:t>
      </w:r>
    </w:p>
    <w:p>
      <w:pPr>
        <w:spacing w:after="0" w:line="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changes in plan assets and benefit obligations recognized in other comprehensive loss, as they pertain to our defined benefit pension plans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3100" w:type="dxa"/>
            <w:vAlign w:val="bottom"/>
            <w:tcBorders>
              <w:bottom w:val="single" w:sz="8" w:color="auto"/>
            </w:tcBorders>
            <w:gridSpan w:val="6"/>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6680" w:type="dxa"/>
            <w:vAlign w:val="bottom"/>
          </w:tcPr>
          <w:p>
            <w:pPr>
              <w:ind w:left="140"/>
              <w:spacing w:after="0"/>
              <w:rPr>
                <w:sz w:val="20"/>
                <w:szCs w:val="20"/>
                <w:color w:val="auto"/>
              </w:rPr>
            </w:pPr>
            <w:r>
              <w:rPr>
                <w:rFonts w:ascii="Arial" w:cs="Arial" w:eastAsia="Arial" w:hAnsi="Arial"/>
                <w:sz w:val="18"/>
                <w:szCs w:val="18"/>
                <w:color w:val="auto"/>
              </w:rPr>
              <w:t>(Gains) losses recognized in other comprehensive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6680" w:type="dxa"/>
            <w:vAlign w:val="bottom"/>
          </w:tcPr>
          <w:p>
            <w:pPr>
              <w:ind w:left="220"/>
              <w:spacing w:after="0"/>
              <w:rPr>
                <w:sz w:val="20"/>
                <w:szCs w:val="20"/>
                <w:color w:val="auto"/>
              </w:rPr>
            </w:pPr>
            <w:r>
              <w:rPr>
                <w:rFonts w:ascii="Arial" w:cs="Arial" w:eastAsia="Arial" w:hAnsi="Arial"/>
                <w:sz w:val="18"/>
                <w:szCs w:val="18"/>
                <w:color w:val="auto"/>
              </w:rPr>
              <w:t>Settlement</w:t>
            </w:r>
          </w:p>
        </w:tc>
        <w:tc>
          <w:tcPr>
            <w:tcW w:w="34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recognized in other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2019</w:t>
            </w:r>
          </w:p>
        </w:tc>
      </w:tr>
      <w:tr>
        <w:trPr>
          <w:trHeight w:val="222"/>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816"/>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754"/>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668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19"/>
                <w:szCs w:val="19"/>
                <w:color w:val="auto"/>
              </w:rPr>
            </w:pPr>
          </w:p>
        </w:tc>
        <w:tc>
          <w:tcPr>
            <w:tcW w:w="1160" w:type="dxa"/>
            <w:vAlign w:val="bottom"/>
          </w:tcPr>
          <w:p>
            <w:pPr>
              <w:jc w:val="center"/>
              <w:ind w:left="816"/>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714"/>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816"/>
              <w:spacing w:after="0"/>
              <w:rPr>
                <w:sz w:val="20"/>
                <w:szCs w:val="20"/>
                <w:color w:val="auto"/>
              </w:rPr>
            </w:pPr>
            <w:r>
              <w:rPr>
                <w:rFonts w:ascii="Arial" w:cs="Arial" w:eastAsia="Arial" w:hAnsi="Arial"/>
                <w:sz w:val="18"/>
                <w:szCs w:val="18"/>
                <w:b w:val="1"/>
                <w:bCs w:val="1"/>
                <w:color w:val="auto"/>
                <w:w w:val="99"/>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754"/>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668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center"/>
              <w:ind w:left="816"/>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754"/>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94" w:name="page95"/>
    <w:bookmarkEnd w:id="94"/>
    <w:p>
      <w:pPr>
        <w:ind w:right="100"/>
        <w:spacing w:after="0" w:line="259" w:lineRule="auto"/>
        <w:rPr>
          <w:sz w:val="20"/>
          <w:szCs w:val="20"/>
          <w:color w:val="auto"/>
        </w:rPr>
      </w:pPr>
      <w:r>
        <w:rPr>
          <w:rFonts w:ascii="Arial" w:cs="Arial" w:eastAsia="Arial" w:hAnsi="Arial"/>
          <w:sz w:val="18"/>
          <w:szCs w:val="18"/>
          <w:color w:val="auto"/>
        </w:rPr>
        <w:t>Other changes in benefit obligations recognized in other comprehensive loss, as they pertain to other post-retirement employee benefit plans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2"/>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(gain)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672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713"/>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753"/>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13"/>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recognized in other 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losses (gains) recognized in comprehensive income</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20" w:type="dxa"/>
            <w:vAlign w:val="bottom"/>
            <w:vMerge w:val="continue"/>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52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center"/>
              <w:ind w:left="713"/>
              <w:spacing w:after="0" w:line="202" w:lineRule="exact"/>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60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3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08"/>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187"/>
        </w:trPr>
        <w:tc>
          <w:tcPr>
            <w:tcW w:w="3380" w:type="dxa"/>
            <w:vAlign w:val="bottom"/>
          </w:tcPr>
          <w:p>
            <w:pPr>
              <w:ind w:left="140"/>
              <w:spacing w:after="0" w:line="188" w:lineRule="exact"/>
              <w:rPr>
                <w:sz w:val="20"/>
                <w:szCs w:val="20"/>
                <w:color w:val="auto"/>
              </w:rPr>
            </w:pPr>
            <w:r>
              <w:rPr>
                <w:rFonts w:ascii="Arial" w:cs="Arial" w:eastAsia="Arial" w:hAnsi="Arial"/>
                <w:sz w:val="18"/>
                <w:szCs w:val="18"/>
                <w:color w:val="auto"/>
              </w:rPr>
              <w:t>Expected long-term return on plan</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6.50 %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2.60 %</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6.96 %</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00" w:right="500" w:hanging="483"/>
        <w:spacing w:after="0" w:line="258"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8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91" w:lineRule="exact"/>
        <w:rPr>
          <w:sz w:val="20"/>
          <w:szCs w:val="20"/>
          <w:color w:val="auto"/>
        </w:rPr>
      </w:pPr>
    </w:p>
    <w:p>
      <w:pPr>
        <w:ind w:right="560"/>
        <w:spacing w:after="0" w:line="260" w:lineRule="auto"/>
        <w:rPr>
          <w:sz w:val="20"/>
          <w:szCs w:val="20"/>
          <w:color w:val="auto"/>
        </w:rPr>
      </w:pPr>
      <w:r>
        <w:rPr>
          <w:rFonts w:ascii="Arial" w:cs="Arial" w:eastAsia="Arial" w:hAnsi="Arial"/>
          <w:sz w:val="17"/>
          <w:szCs w:val="17"/>
          <w:color w:val="auto"/>
        </w:rPr>
        <w:t>The decrease in the projected benefit obligations of our qualified defined benefit pension plans in 2021 was primarily due to changes in assumptions, predominantly driven by increases in discount rate in 2021 as compared to 2020. The increase in the projected benefit obligations of defined benefit pension plans in 2020 was primarily due to a decrease in the discount rate in 2020 as compared to 2019.</w:t>
      </w:r>
    </w:p>
    <w:p>
      <w:pPr>
        <w:spacing w:after="0" w:line="7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9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2022 is estimated at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5" w:name="page96"/>
    <w:bookmarkEnd w:id="95"/>
    <w:p>
      <w:pPr>
        <w:ind w:right="20"/>
        <w:spacing w:after="0" w:line="259" w:lineRule="auto"/>
        <w:rPr>
          <w:sz w:val="20"/>
          <w:szCs w:val="20"/>
          <w:color w:val="auto"/>
        </w:rPr>
      </w:pPr>
      <w:r>
        <w:rPr>
          <w:rFonts w:ascii="Arial" w:cs="Arial" w:eastAsia="Arial" w:hAnsi="Arial"/>
          <w:sz w:val="18"/>
          <w:szCs w:val="18"/>
          <w:color w:val="auto"/>
        </w:rPr>
        <w:t>The table below provides the weighted average actual rate of return generated on all of our plan assets during each of the years presented as compared to the weighted average expected long-term rates of return utilized in calculating the net periodic benefit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36"/>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560" w:type="dxa"/>
            <w:vAlign w:val="bottom"/>
          </w:tcPr>
          <w:p>
            <w:pPr>
              <w:jc w:val="right"/>
              <w:ind w:right="536"/>
              <w:spacing w:after="0"/>
              <w:rPr>
                <w:sz w:val="20"/>
                <w:szCs w:val="20"/>
                <w:color w:val="auto"/>
              </w:rPr>
            </w:pPr>
            <w:r>
              <w:rPr>
                <w:rFonts w:ascii="Arial" w:cs="Arial" w:eastAsia="Arial" w:hAnsi="Arial"/>
                <w:sz w:val="14"/>
                <w:szCs w:val="14"/>
                <w:color w:val="auto"/>
              </w:rPr>
              <w:t>2019</w:t>
            </w:r>
          </w:p>
        </w:tc>
      </w:tr>
      <w:tr>
        <w:trPr>
          <w:trHeight w:val="222"/>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long-term rate of return on plan assets</w:t>
            </w: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3.24 %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7.09 %</w:t>
            </w:r>
          </w:p>
        </w:tc>
      </w:tr>
      <w:tr>
        <w:trPr>
          <w:trHeight w:val="238"/>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Actual rate of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1.66 %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12.59 %</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3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2019, the Company updated its investment policy for the Xylem U.K. Pension Plan (the "U.K. Plan"), its largest defined benefit plan in the U.K., to prepare for a full buy-out as discussed above.</w:t>
      </w:r>
    </w:p>
    <w:p>
      <w:pPr>
        <w:spacing w:after="0" w:line="9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following table provides the actual asset allocations of plan assets as of December 31, 2021 and 2020, and the related asset target allocation ranges by asset category: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34"/>
        </w:trPr>
        <w:tc>
          <w:tcPr>
            <w:tcW w:w="7420" w:type="dxa"/>
            <w:vAlign w:val="bottom"/>
            <w:gridSpan w:val="2"/>
            <w:vMerge w:val="restart"/>
          </w:tcPr>
          <w:p>
            <w:pPr>
              <w:ind w:left="7100"/>
              <w:spacing w:after="0"/>
              <w:rPr>
                <w:sz w:val="20"/>
                <w:szCs w:val="20"/>
                <w:color w:val="auto"/>
              </w:rPr>
            </w:pPr>
            <w:r>
              <w:rPr>
                <w:rFonts w:ascii="Arial" w:cs="Arial" w:eastAsia="Arial" w:hAnsi="Arial"/>
                <w:sz w:val="14"/>
                <w:szCs w:val="14"/>
                <w:b w:val="1"/>
                <w:bCs w:val="1"/>
                <w:color w:val="auto"/>
                <w:w w:val="96"/>
              </w:rPr>
              <w:t>2021</w:t>
            </w:r>
          </w:p>
        </w:tc>
        <w:tc>
          <w:tcPr>
            <w:tcW w:w="1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75"/>
        </w:trPr>
        <w:tc>
          <w:tcPr>
            <w:tcW w:w="7420" w:type="dxa"/>
            <w:vAlign w:val="bottom"/>
            <w:gridSpan w:val="2"/>
            <w:vMerge w:val="continue"/>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2"/>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28"/>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21.9 %</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22.9 %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8"/>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Hedge funds</w:t>
            </w:r>
          </w:p>
        </w:tc>
        <w:tc>
          <w:tcPr>
            <w:tcW w:w="168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8"/>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Private equity</w:t>
            </w:r>
          </w:p>
        </w:tc>
        <w:tc>
          <w:tcPr>
            <w:tcW w:w="168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 %</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8"/>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3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9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5" w:lineRule="exact"/>
        <w:rPr>
          <w:sz w:val="20"/>
          <w:szCs w:val="20"/>
          <w:color w:val="auto"/>
        </w:rPr>
      </w:pPr>
    </w:p>
    <w:p>
      <w:pPr>
        <w:ind w:left="380" w:right="180" w:hanging="332"/>
        <w:spacing w:after="0" w:line="251"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100" w:lineRule="exact"/>
        <w:rPr>
          <w:rFonts w:ascii="Arial" w:cs="Arial" w:eastAsia="Arial" w:hAnsi="Arial"/>
          <w:sz w:val="18"/>
          <w:szCs w:val="18"/>
          <w:color w:val="auto"/>
        </w:rPr>
      </w:pPr>
    </w:p>
    <w:p>
      <w:pPr>
        <w:ind w:left="380" w:right="80" w:hanging="332"/>
        <w:spacing w:after="0" w:line="251"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98" w:lineRule="exact"/>
        <w:rPr>
          <w:rFonts w:ascii="Arial" w:cs="Arial" w:eastAsia="Arial" w:hAnsi="Arial"/>
          <w:sz w:val="18"/>
          <w:szCs w:val="18"/>
          <w:color w:val="auto"/>
        </w:rPr>
      </w:pPr>
    </w:p>
    <w:p>
      <w:pPr>
        <w:ind w:left="380" w:right="100" w:hanging="332"/>
        <w:spacing w:after="0" w:line="254"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380" w:right="660" w:hanging="332"/>
        <w:spacing w:after="0" w:line="259"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for liquidity and investment collateral and are classified as Level 1.</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16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0"/>
        </w:trPr>
        <w:tc>
          <w:tcPr>
            <w:tcW w:w="262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20" w:type="dxa"/>
            <w:vAlign w:val="bottom"/>
          </w:tcPr>
          <w:p>
            <w:pPr>
              <w:ind w:left="340"/>
              <w:spacing w:after="0" w:line="187"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7"/>
        </w:trPr>
        <w:tc>
          <w:tcPr>
            <w:tcW w:w="2620" w:type="dxa"/>
            <w:vAlign w:val="bottom"/>
            <w:shd w:val="clear" w:color="auto" w:fill="CCEEFF"/>
          </w:tcPr>
          <w:p>
            <w:pPr>
              <w:ind w:left="340"/>
              <w:spacing w:after="0" w:line="188"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w:t>
            </w:r>
          </w:p>
        </w:tc>
        <w:tc>
          <w:tcPr>
            <w:tcW w:w="22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2620" w:type="dxa"/>
            <w:vAlign w:val="bottom"/>
          </w:tcPr>
          <w:p>
            <w:pPr>
              <w:ind w:left="34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2620" w:type="dxa"/>
            <w:vAlign w:val="bottom"/>
          </w:tcPr>
          <w:p>
            <w:pPr>
              <w:ind w:left="140"/>
              <w:spacing w:after="0"/>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8"/>
        </w:trPr>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&amp; cash equivalents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ind w:left="540"/>
              <w:spacing w:after="0" w:line="167"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679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shd w:val="clear" w:color="auto" w:fill="CCEEFF"/>
          </w:tcPr>
          <w:p>
            <w:pPr>
              <w:ind w:left="540"/>
              <w:spacing w:after="0" w:line="189" w:lineRule="exact"/>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820" w:type="dxa"/>
            <w:vAlign w:val="bottom"/>
          </w:tcPr>
          <w:p>
            <w:pPr>
              <w:jc w:val="right"/>
              <w:ind w:right="54"/>
              <w:spacing w:after="0"/>
              <w:rPr>
                <w:sz w:val="20"/>
                <w:szCs w:val="20"/>
                <w:color w:val="auto"/>
              </w:rPr>
            </w:pPr>
            <w:r>
              <w:rPr>
                <w:rFonts w:ascii="Arial" w:cs="Arial" w:eastAsia="Arial" w:hAnsi="Arial"/>
                <w:sz w:val="14"/>
                <w:szCs w:val="14"/>
                <w:b w:val="1"/>
                <w:bCs w:val="1"/>
                <w:color w:val="auto"/>
              </w:rPr>
              <w:t>Insurance Contracts and</w:t>
            </w:r>
          </w:p>
        </w:tc>
      </w:tr>
      <w:tr>
        <w:trPr>
          <w:trHeight w:val="196"/>
        </w:trPr>
        <w:tc>
          <w:tcPr>
            <w:tcW w:w="9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Other</w:t>
            </w:r>
          </w:p>
        </w:tc>
      </w:tr>
      <w:tr>
        <w:trPr>
          <w:trHeight w:val="255"/>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9"/>
        </w:trPr>
        <w:tc>
          <w:tcPr>
            <w:tcW w:w="9200" w:type="dxa"/>
            <w:vAlign w:val="bottom"/>
          </w:tcPr>
          <w:p>
            <w:pPr>
              <w:ind w:left="20"/>
              <w:spacing w:after="0"/>
              <w:rPr>
                <w:sz w:val="20"/>
                <w:szCs w:val="20"/>
                <w:color w:val="auto"/>
              </w:rPr>
            </w:pPr>
            <w:r>
              <w:rPr>
                <w:rFonts w:ascii="Arial" w:cs="Arial" w:eastAsia="Arial" w:hAnsi="Arial"/>
                <w:sz w:val="18"/>
                <w:szCs w:val="18"/>
                <w:color w:val="auto"/>
              </w:rPr>
              <w:t>Purchases, sales, settlements, net</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62"/>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impact</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5"/>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9"/>
        </w:trPr>
        <w:tc>
          <w:tcPr>
            <w:tcW w:w="9200" w:type="dxa"/>
            <w:vAlign w:val="bottom"/>
          </w:tcPr>
          <w:p>
            <w:pPr>
              <w:ind w:left="20"/>
              <w:spacing w:after="0"/>
              <w:rPr>
                <w:sz w:val="20"/>
                <w:szCs w:val="20"/>
                <w:color w:val="auto"/>
              </w:rPr>
            </w:pPr>
            <w:r>
              <w:rPr>
                <w:rFonts w:ascii="Arial" w:cs="Arial" w:eastAsia="Arial" w:hAnsi="Arial"/>
                <w:sz w:val="18"/>
                <w:szCs w:val="18"/>
                <w:color w:val="auto"/>
              </w:rPr>
              <w:t>Purchases, sales, settlements, net</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2"/>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impact</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9"/>
        </w:trPr>
        <w:tc>
          <w:tcPr>
            <w:tcW w:w="9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13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$29 million and $27 million to our pension and post-retirement defined benefit plans during 2021 and 2020, respectively. We currently anticipate making contributions to our pension and post-retirement defined benefit plans in the range of $19 million to $27 million during 2022, of which approximately $6 million is expected to be made in the first quarter.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6"/>
                <w:szCs w:val="16"/>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2"/>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00" w:type="dxa"/>
            <w:vAlign w:val="bottom"/>
          </w:tcPr>
          <w:p>
            <w:pPr>
              <w:ind w:left="20"/>
              <w:spacing w:after="0"/>
              <w:rPr>
                <w:sz w:val="20"/>
                <w:szCs w:val="20"/>
                <w:color w:val="auto"/>
              </w:rPr>
            </w:pPr>
            <w:r>
              <w:rPr>
                <w:rFonts w:ascii="Arial" w:cs="Arial" w:eastAsia="Arial" w:hAnsi="Arial"/>
                <w:sz w:val="18"/>
                <w:szCs w:val="18"/>
                <w:color w:val="auto"/>
              </w:rPr>
              <w:t>Years 2026 - 2030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 Plans</w:t>
      </w:r>
    </w:p>
    <w:p>
      <w:pPr>
        <w:spacing w:after="0" w:line="13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 awards and performance share unit awards. Under the 2011 Omnibus Incentive Plan, the number of shares initially available for awards was 18 million. As of December 31, 2021, there were approximately 4 million shares of common stock available for future grants.</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share-based compensation costs recognized for 2021, 2020 and 2019 were $33 million, $26 million, and $29 million, respectively. The unamortized compensation expense at December 31, 2021 related to our stock options, restricted share units and performance share units was $7 million, $23 million and $13 million, respectively, and is expected to be recognized over a weighted average period of 1.7, 1.8 and 2.5 years, respectively.</w:t>
      </w:r>
    </w:p>
    <w:p>
      <w:pPr>
        <w:spacing w:after="0" w:line="98"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 amount of cash received from the exercise of stock options was $19 million for 2021 with a tax benefit of $6 million realized associated with stock option exercises and vesting of restricted stock units. We classify as an operating activity the cash flows attributable to excess tax benefits arising from stock option exercises and restricted stock unit vestings.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Options are awarded with a contractual term of 10 years and generally vest over a three-year period and are exercisable within the contractual term, except in certain instances of termination due to death, retirement, disability and other limited circumstances in accordance with the terms of the grant agreements. The exercise price per share is the fair market value of the underlying common stock on the date each option is granted. At December 31, 2021, there were options to purchase an aggregate of 1.8 million shares of common stock. The following is a summary of the changes in outstanding stock options for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11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Exercise</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1"/>
                <w:szCs w:val="11"/>
                <w:color w:val="auto"/>
              </w:rPr>
            </w:pPr>
          </w:p>
        </w:tc>
        <w:tc>
          <w:tcPr>
            <w:tcW w:w="110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20" w:type="dxa"/>
            <w:vAlign w:val="bottom"/>
          </w:tcPr>
          <w:p>
            <w:pPr>
              <w:jc w:val="center"/>
              <w:ind w:right="19"/>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5"/>
                <w:szCs w:val="15"/>
                <w:color w:val="auto"/>
              </w:rPr>
            </w:pPr>
          </w:p>
        </w:tc>
        <w:tc>
          <w:tcPr>
            <w:tcW w:w="1100" w:type="dxa"/>
            <w:vAlign w:val="bottom"/>
          </w:tcPr>
          <w:p>
            <w:pPr>
              <w:jc w:val="center"/>
              <w:ind w:right="39"/>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2"/>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expired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64.12</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22"/>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Options exercisable at December 31,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b w:val="1"/>
                <w:bCs w:val="1"/>
                <w:color w:val="auto"/>
              </w:rPr>
              <w:t>Vested and non-vested expected to vest as of December 31,</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1,778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63.46</w:t>
            </w:r>
          </w:p>
        </w:tc>
        <w:tc>
          <w:tcPr>
            <w:tcW w:w="120" w:type="dxa"/>
            <w:vAlign w:val="bottom"/>
            <w:shd w:val="clear" w:color="auto" w:fill="CCEEFF"/>
          </w:tcPr>
          <w:p>
            <w:pPr>
              <w:spacing w:after="0"/>
              <w:rPr>
                <w:sz w:val="13"/>
                <w:szCs w:val="13"/>
                <w:color w:val="auto"/>
              </w:rPr>
            </w:pPr>
          </w:p>
        </w:tc>
        <w:tc>
          <w:tcPr>
            <w:tcW w:w="17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6.1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non-vested options outstanding was 0.7 million, 0.7 million and 0.6 million at a weighted average grant date share price of</w:t>
      </w:r>
    </w:p>
    <w:p>
      <w:pPr>
        <w:spacing w:after="0" w:line="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$84.66, $74.00 and $69.30 as of December 31, 2021, 2020 and 2019, respectively. The total intrinsic value of options exercised (which is the amount by which the stock price exceeded the exercise price of the options on the date of exercise) during 2021, 2020 and 2019 was $27 million, $20 million and $15 million, respectively.</w:t>
      </w:r>
    </w:p>
    <w:p>
      <w:pPr>
        <w:spacing w:after="0" w:line="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2019</w:t>
            </w:r>
          </w:p>
        </w:tc>
      </w:tr>
      <w:tr>
        <w:trPr>
          <w:trHeight w:val="222"/>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28"/>
        </w:trPr>
        <w:tc>
          <w:tcPr>
            <w:tcW w:w="560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26.29 %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24.16 %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24.10 %</w:t>
            </w:r>
          </w:p>
        </w:tc>
      </w:tr>
      <w:tr>
        <w:trPr>
          <w:trHeight w:val="22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28"/>
        </w:trPr>
        <w:tc>
          <w:tcPr>
            <w:tcW w:w="5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8"/>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23.26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14.84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17.04</w:t>
            </w:r>
          </w:p>
        </w:tc>
      </w:tr>
    </w:tbl>
    <w:p>
      <w:pPr>
        <w:spacing w:after="0" w:line="201" w:lineRule="exact"/>
        <w:rPr>
          <w:sz w:val="20"/>
          <w:szCs w:val="20"/>
          <w:color w:val="auto"/>
        </w:rPr>
      </w:pPr>
    </w:p>
    <w:p>
      <w:pPr>
        <w:ind w:right="560"/>
        <w:spacing w:after="0" w:line="25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Restricted stock units granted to employees vest over a three-year period. Prior to the time a restricted share becomes fully vested, the awardees cannot transfer, pledge or encumber such shares. Prior to the time a restricted share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a pro-rata portion of the restricted stock unit may vest in accordance with the terms of the grant agreements. Restricted stock units granted to Board members become fully vested upon the day prior to the next annual meeting. The fair value of the restricted stock unit awards is determined using the closing price of our common stock on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is a summary of the changes in outstanding restricted stock units for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38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rPr>
              <w:t>Share Units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1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4"/>
        </w:trPr>
        <w:tc>
          <w:tcPr>
            <w:tcW w:w="74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28"/>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228"/>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28"/>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7"/>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38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Performance share units granted under the long-term incentive plan vest based upon performance by the Company over a three-year period against targets approved by the Leadership Development &amp; Compensation Committee of the Company's Board of Directors prior to the grant date. For the performance periods, the performance share units were granted at a target of 100% with actual payout contingent upon the achievement of a pre-set, three-year adjusted ROIC and cumulative adjusted net income performance target for ROIC performance share units and a relative TSR performance for TSR performance share units. The calculated compensation cost for ROIC performance share units is adjusted based on an estimate of awards ultimately expected to vest and our assessment of the probable outcome of the performance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Performance Share Unit Grants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 awards is determined using the closing price of our common stock on date of grant.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ROIC performance share units for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1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4"/>
        </w:trPr>
        <w:tc>
          <w:tcPr>
            <w:tcW w:w="74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8"/>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22"/>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84.84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60" w:firstLine="7"/>
        <w:spacing w:after="0" w:line="258" w:lineRule="auto"/>
        <w:tabs>
          <w:tab w:leader="none" w:pos="2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performance criteria achievement at the end of the performance period of such awards.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4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4"/>
        </w:trPr>
        <w:tc>
          <w:tcPr>
            <w:tcW w:w="74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5"/>
        </w:trPr>
        <w:tc>
          <w:tcPr>
            <w:tcW w:w="74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2"/>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28"/>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28"/>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28"/>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22"/>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102.96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20" w:firstLine="7"/>
        <w:spacing w:after="0" w:line="258" w:lineRule="auto"/>
        <w:tabs>
          <w:tab w:leader="none" w:pos="2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jc w:val="both"/>
        <w:spacing w:after="0" w:line="276" w:lineRule="auto"/>
        <w:rPr>
          <w:sz w:val="20"/>
          <w:szCs w:val="20"/>
          <w:color w:val="auto"/>
        </w:rPr>
      </w:pPr>
      <w:r>
        <w:rPr>
          <w:rFonts w:ascii="Arial" w:cs="Arial" w:eastAsia="Arial" w:hAnsi="Arial"/>
          <w:sz w:val="17"/>
          <w:szCs w:val="17"/>
          <w:color w:val="auto"/>
        </w:rPr>
        <w:t>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2021 grants.</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624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8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2020</w:t>
            </w:r>
          </w:p>
        </w:tc>
        <w:tc>
          <w:tcPr>
            <w:tcW w:w="3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color w:val="auto"/>
              </w:rPr>
              <w:t>2019</w:t>
            </w:r>
          </w:p>
        </w:tc>
      </w:tr>
      <w:tr>
        <w:trPr>
          <w:trHeight w:val="222"/>
        </w:trPr>
        <w:tc>
          <w:tcPr>
            <w:tcW w:w="624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33.5 %</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22.6 %</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28"/>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ESG Performance Share Unit Grants</w:t>
      </w:r>
    </w:p>
    <w:p>
      <w:pPr>
        <w:spacing w:after="0" w:line="2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During the first quarter of 2021, we issued a special grant of less than 0.1 million ESG performance share units. The shares will vest on March 1, 2026 based on our performance as of December 31, 2025 against certain of the Company's 2025 sustainability goals.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pacing w:after="0" w:line="27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stockholders of Xylem common stock are entitled to receive dividends as declared by the Xylem Board of Directors. Dividends declared were $1.12, $1.04 and $0.96 during 2021, 2020 and 2019,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8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2019</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180,354</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180,140</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179,724</w:t>
            </w:r>
          </w:p>
        </w:tc>
      </w:tr>
      <w:tr>
        <w:trPr>
          <w:trHeight w:val="22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 plan net activity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8"/>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Repurchase of common stock</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4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180,392</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180,354</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For the years ended December 31, 2021 and December 31, 2020 the Company repurchased 0.7 million shares of common stock for $68 million and repurchased 0.8 million shares of common stock for $61 million, respectively. Repurchases include both share repurchase programs approved by the Board of Directors and repurchases in relation to settlement of employee tax withholding obligations due as a result of the vesting of restricted stock units. The detail of repurchases by each program are as follows:</w:t>
      </w:r>
    </w:p>
    <w:p>
      <w:pPr>
        <w:spacing w:after="0" w:line="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For the year ended December 31, 2021 we repurchased 0.6 million shares for $60 million. For the year ended December 31, 2020 we repurchased 0.7 million shares for $50 million. There are up to $228 million in shares that may still be purchased under this plan as of December 31, 2021.</w:t>
      </w:r>
    </w:p>
    <w:p>
      <w:pPr>
        <w:spacing w:after="0" w:line="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Aside from the aforementioned repurchase programs, we repurchased 0.1 million and 0.1 million shares for $8 million and $11 million during 2021 and 2020, respectively, in relation to settlement of employee income tax withholding obligations due as a result of the vesting of restricted stock units. These repurchases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2021,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ind w:left="20"/>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360" w:type="dxa"/>
            <w:vAlign w:val="bottom"/>
          </w:tcPr>
          <w:p>
            <w:pPr>
              <w:spacing w:after="0"/>
              <w:rPr>
                <w:sz w:val="14"/>
                <w:szCs w:val="14"/>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Settlement charge released into other non-operating</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w w:val="99"/>
              </w:rPr>
              <w:t>Foreign currency translation adjustment for post-retirement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benefit plans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expense on changes in post-retirement benefit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plans, including settlement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Amortization of prior service cost and net actuarial loss on</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ind w:left="120"/>
              <w:spacing w:after="0" w:line="175" w:lineRule="exact"/>
              <w:rPr>
                <w:sz w:val="20"/>
                <w:szCs w:val="20"/>
                <w:color w:val="auto"/>
              </w:rPr>
            </w:pPr>
            <w:r>
              <w:rPr>
                <w:rFonts w:ascii="Arial" w:cs="Arial" w:eastAsia="Arial" w:hAnsi="Arial"/>
                <w:sz w:val="18"/>
                <w:szCs w:val="18"/>
                <w:color w:val="auto"/>
              </w:rPr>
              <w:t>post-retirement benefit plans into other non-operating</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income (expense), net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impact on amortization of post-retirement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items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agreements into cost of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w w:val="99"/>
              </w:rPr>
              <w:t>Foreign currency translation adjustment for post-retirement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Income tax expense on changes in post-retirement benefit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plans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Amortization of prior service cost and net actuarial loss on</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ind w:left="120"/>
              <w:spacing w:after="0" w:line="175" w:lineRule="exact"/>
              <w:rPr>
                <w:sz w:val="20"/>
                <w:szCs w:val="20"/>
                <w:color w:val="auto"/>
              </w:rPr>
            </w:pPr>
            <w:r>
              <w:rPr>
                <w:rFonts w:ascii="Arial" w:cs="Arial" w:eastAsia="Arial" w:hAnsi="Arial"/>
                <w:sz w:val="18"/>
                <w:szCs w:val="18"/>
                <w:color w:val="auto"/>
              </w:rPr>
              <w:t>post-retirement benefit plans into other non-operating</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impact on amortization of post-retirement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 items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Reclassification of unrealized gain on foreign exchange</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Reclassification of unrealized (gain) loss on foreign</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exchange agreements into cost of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5"/>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494"/>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tbl>
      <w:tblPr>
        <w:tblLayout w:type="fixed"/>
        <w:tblInd w:w="4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color w:val="auto"/>
              </w:rPr>
              <w:t>Foreign Currency</w:t>
            </w:r>
          </w:p>
        </w:tc>
        <w:tc>
          <w:tcPr>
            <w:tcW w:w="1620" w:type="dxa"/>
            <w:vAlign w:val="bottom"/>
            <w:gridSpan w:val="3"/>
          </w:tcPr>
          <w:p>
            <w:pPr>
              <w:ind w:left="20"/>
              <w:spacing w:after="0"/>
              <w:rPr>
                <w:sz w:val="20"/>
                <w:szCs w:val="20"/>
                <w:color w:val="auto"/>
              </w:rPr>
            </w:pPr>
            <w:r>
              <w:rPr>
                <w:rFonts w:ascii="Arial" w:cs="Arial" w:eastAsia="Arial" w:hAnsi="Arial"/>
                <w:sz w:val="14"/>
                <w:szCs w:val="14"/>
                <w:color w:val="auto"/>
              </w:rPr>
              <w:t>Post-retirement Benefit</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36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0"/>
        </w:trPr>
        <w:tc>
          <w:tcPr>
            <w:tcW w:w="4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color w:val="auto"/>
              </w:rPr>
              <w:t>Translation</w:t>
            </w:r>
          </w:p>
        </w:tc>
        <w:tc>
          <w:tcPr>
            <w:tcW w:w="34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Plans</w:t>
            </w:r>
          </w:p>
        </w:tc>
        <w:tc>
          <w:tcPr>
            <w:tcW w:w="1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120"/>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w w:val="99"/>
              </w:rPr>
              <w:t>Foreign currency translation adjustment for post-retirement</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Income tax expense on changes in post-retirement benefit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plans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Amortization of prior service cost and net actuarial loss on</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120"/>
              <w:spacing w:after="0" w:line="175" w:lineRule="exact"/>
              <w:rPr>
                <w:sz w:val="20"/>
                <w:szCs w:val="20"/>
                <w:color w:val="auto"/>
              </w:rPr>
            </w:pPr>
            <w:r>
              <w:rPr>
                <w:rFonts w:ascii="Arial" w:cs="Arial" w:eastAsia="Arial" w:hAnsi="Arial"/>
                <w:sz w:val="18"/>
                <w:szCs w:val="18"/>
                <w:color w:val="auto"/>
              </w:rPr>
              <w:t>post-retirement benefit plans into other non-operating</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820" w:type="dxa"/>
            <w:vAlign w:val="bottom"/>
          </w:tcPr>
          <w:p>
            <w:pPr>
              <w:ind w:left="120"/>
              <w:spacing w:after="0" w:line="188" w:lineRule="exact"/>
              <w:rPr>
                <w:sz w:val="20"/>
                <w:szCs w:val="20"/>
                <w:color w:val="auto"/>
              </w:rPr>
            </w:pPr>
            <w:r>
              <w:rPr>
                <w:rFonts w:ascii="Arial" w:cs="Arial" w:eastAsia="Arial" w:hAnsi="Arial"/>
                <w:sz w:val="18"/>
                <w:szCs w:val="18"/>
                <w:color w:val="auto"/>
              </w:rPr>
              <w:t>Income tax impact on amortization of post-retirement</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benefit plan items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derivative hedge agreements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8"/>
        </w:trPr>
        <w:tc>
          <w:tcPr>
            <w:tcW w:w="4820" w:type="dxa"/>
            <w:vAlign w:val="bottom"/>
          </w:tcPr>
          <w:p>
            <w:pPr>
              <w:ind w:left="120"/>
              <w:spacing w:after="0"/>
              <w:rPr>
                <w:sz w:val="20"/>
                <w:szCs w:val="20"/>
                <w:color w:val="auto"/>
              </w:rPr>
            </w:pPr>
            <w:r>
              <w:rPr>
                <w:rFonts w:ascii="Arial" w:cs="Arial" w:eastAsia="Arial" w:hAnsi="Arial"/>
                <w:sz w:val="18"/>
                <w:szCs w:val="18"/>
                <w:color w:val="auto"/>
              </w:rPr>
              <w:t>Tax on unrealized gain on derivative hedge agreements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7"/>
        </w:trPr>
        <w:tc>
          <w:tcPr>
            <w:tcW w:w="4820" w:type="dxa"/>
            <w:vAlign w:val="bottom"/>
            <w:shd w:val="clear" w:color="auto" w:fill="CCEEFF"/>
          </w:tcPr>
          <w:p>
            <w:pPr>
              <w:ind w:left="120"/>
              <w:spacing w:after="0" w:line="188" w:lineRule="exact"/>
              <w:rPr>
                <w:sz w:val="20"/>
                <w:szCs w:val="20"/>
                <w:color w:val="auto"/>
              </w:rPr>
            </w:pPr>
            <w:r>
              <w:rPr>
                <w:rFonts w:ascii="Arial" w:cs="Arial" w:eastAsia="Arial" w:hAnsi="Arial"/>
                <w:sz w:val="18"/>
                <w:szCs w:val="18"/>
                <w:color w:val="auto"/>
              </w:rPr>
              <w:t>Reclassification of unrealized gain on foreign exchange</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7"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9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Exelis and Xylem, ITT has an obligation to indemnify, defend and hold Xylem harmless for asbestos product liability matters, including settlements, judgments, and legal defense costs associated with all pending and future claims that may arise from past sales of ITT’s legacy products. We believe ITT remains a substantial entity with sufficient financial resources to honor its obligations to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7 "Income Taxes" of our consolidated financial statements for a description of a pending tax litigation matter.</w:t>
      </w:r>
    </w:p>
    <w:p>
      <w:pPr>
        <w:spacing w:after="0" w:line="1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95" w:lineRule="exact"/>
        <w:rPr>
          <w:sz w:val="20"/>
          <w:szCs w:val="20"/>
          <w:color w:val="auto"/>
        </w:rPr>
      </w:pPr>
    </w:p>
    <w:p>
      <w:pPr>
        <w:ind w:right="220"/>
        <w:spacing w:after="0" w:line="373" w:lineRule="auto"/>
        <w:rPr>
          <w:sz w:val="20"/>
          <w:szCs w:val="20"/>
          <w:color w:val="auto"/>
        </w:rPr>
      </w:pPr>
      <w:r>
        <w:rPr>
          <w:rFonts w:ascii="Arial" w:cs="Arial" w:eastAsia="Arial" w:hAnsi="Arial"/>
          <w:sz w:val="18"/>
          <w:szCs w:val="18"/>
          <w:color w:val="auto"/>
        </w:rPr>
        <w:t xml:space="preserve">We have estimated and accrued $4 million and $6 million as of December 31, 2021 and 2020, respectively, for these general legal matters. </w:t>
      </w:r>
      <w:r>
        <w:rPr>
          <w:rFonts w:ascii="Arial" w:cs="Arial" w:eastAsia="Arial" w:hAnsi="Arial"/>
          <w:sz w:val="18"/>
          <w:szCs w:val="18"/>
          <w:b w:val="1"/>
          <w:bCs w:val="1"/>
          <w:i w:val="1"/>
          <w:iCs w:val="1"/>
          <w:color w:val="auto"/>
        </w:rPr>
        <w:t>Indemnifications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part of our 2011 spin-off from our former parent, ITT, Exelis Inc. (acquired by Harris Corporation, now L3Harris Technologies, Inc.) and Xylem will indemnify, defend and hold harmless each of the other parties with respect to such parties’ assumed or retained liabilities under the Distribution Agreement and breaches of the Distribution Agreement or related spin agreements. ITT's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81" w:right="359" w:bottom="1440" w:gutter="0" w:footer="0" w:header="0"/>
        </w:sectPr>
      </w:pPr>
    </w:p>
    <w:bookmarkStart w:id="103" w:name="page104"/>
    <w:bookmarkEnd w:id="103"/>
    <w:p>
      <w:pPr>
        <w:ind w:right="220"/>
        <w:spacing w:after="0" w:line="254" w:lineRule="auto"/>
        <w:rPr>
          <w:sz w:val="20"/>
          <w:szCs w:val="20"/>
          <w:color w:val="auto"/>
        </w:rPr>
      </w:pPr>
      <w:r>
        <w:rPr>
          <w:rFonts w:ascii="Arial" w:cs="Arial" w:eastAsia="Arial" w:hAnsi="Arial"/>
          <w:sz w:val="18"/>
          <w:szCs w:val="18"/>
          <w:color w:val="auto"/>
        </w:rPr>
        <w:t>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2021 and December 31, 2020, the amount of surety bonds, bank guarantees, insurance letters of credit and stand-by letters of credit was $415 million and $378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10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as of December 31, 2021 and 2020 for environmental matters.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Warranty expense was $27 million, $57 million, and $25 million for 2021, 2020 and 2019, respectively. The table below provides changes in the combined current and non-current product warranty accruals over each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2019</w:t>
            </w:r>
          </w:p>
        </w:tc>
      </w:tr>
      <w:tr>
        <w:trPr>
          <w:trHeight w:val="222"/>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668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warranty claims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21. Related Party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Sales to and purchases from unconsolidated entities for 2021, 2020 and 2019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2019</w:t>
            </w:r>
          </w:p>
        </w:tc>
      </w:tr>
      <w:tr>
        <w:trPr>
          <w:trHeight w:val="222"/>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to unconsolidated affiliates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8"/>
        </w:trPr>
        <w:tc>
          <w:tcPr>
            <w:tcW w:w="7460" w:type="dxa"/>
            <w:vAlign w:val="bottom"/>
          </w:tcPr>
          <w:p>
            <w:pPr>
              <w:ind w:left="140"/>
              <w:spacing w:after="0"/>
              <w:rPr>
                <w:sz w:val="20"/>
                <w:szCs w:val="20"/>
                <w:color w:val="auto"/>
              </w:rPr>
            </w:pPr>
            <w:r>
              <w:rPr>
                <w:rFonts w:ascii="Arial" w:cs="Arial" w:eastAsia="Arial" w:hAnsi="Arial"/>
                <w:sz w:val="18"/>
                <w:szCs w:val="18"/>
                <w:color w:val="auto"/>
              </w:rPr>
              <w:t>Purchases from unconsolidated affiliates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and Geographic Data</w:t>
      </w:r>
    </w:p>
    <w:p>
      <w:pPr>
        <w:spacing w:after="0" w:line="124"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50"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105" w:name="page106"/>
    <w:bookmarkEnd w:id="105"/>
    <w:p>
      <w:pPr>
        <w:ind w:right="380"/>
        <w:spacing w:after="0" w:line="259"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"Summary of Significant Accounting Policies"). The following tables contain financial information for each reportable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2,247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2,177</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2"/>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non-operating (expense) income,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sale of businesses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Regional selling locations (a)</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6180" w:type="dxa"/>
            <w:vAlign w:val="bottom"/>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Capital expenditures: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618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(b)</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2"/>
        </w:trPr>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660" w:right="120" w:hanging="330"/>
        <w:spacing w:after="0" w:line="251" w:lineRule="auto"/>
        <w:tabs>
          <w:tab w:leader="none" w:pos="714"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40" w:lineRule="exact"/>
        <w:rPr>
          <w:rFonts w:ascii="Arial" w:cs="Arial" w:eastAsia="Arial" w:hAnsi="Arial"/>
          <w:sz w:val="16"/>
          <w:szCs w:val="16"/>
          <w:color w:val="auto"/>
        </w:rPr>
      </w:pPr>
    </w:p>
    <w:p>
      <w:pPr>
        <w:ind w:left="700" w:hanging="370"/>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375" w:right="3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following table illustrates revenue by product category, net of intercompany revenue: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2"/>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2019</w:t>
            </w:r>
          </w:p>
        </w:tc>
      </w:tr>
      <w:tr>
        <w:trPr>
          <w:trHeight w:val="222"/>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Pumps, accessories, parts and service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r>
      <w:tr>
        <w:trPr>
          <w:trHeight w:val="22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r>
      <w:tr>
        <w:trPr>
          <w:trHeight w:val="242"/>
        </w:trPr>
        <w:tc>
          <w:tcPr>
            <w:tcW w:w="6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Other includes treatment equipment, analytical instrumentation, heat exchangers, valves, controls and smart meters.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total assets for each reportable segment as of December 31, 2021, 2020 and 2019:</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2"/>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2019</w:t>
            </w:r>
          </w:p>
        </w:tc>
      </w:tr>
      <w:tr>
        <w:trPr>
          <w:trHeight w:val="222"/>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r>
      <w:tr>
        <w:trPr>
          <w:trHeight w:val="228"/>
        </w:trPr>
        <w:tc>
          <w:tcPr>
            <w:tcW w:w="6180" w:type="dxa"/>
            <w:vAlign w:val="bottom"/>
          </w:tcPr>
          <w:p>
            <w:pPr>
              <w:ind w:left="2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2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&amp;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28"/>
        </w:trPr>
        <w:tc>
          <w:tcPr>
            <w:tcW w:w="6180" w:type="dxa"/>
            <w:vAlign w:val="bottom"/>
          </w:tcPr>
          <w:p>
            <w:pPr>
              <w:ind w:left="20"/>
              <w:spacing w:after="0"/>
              <w:rPr>
                <w:sz w:val="20"/>
                <w:szCs w:val="20"/>
                <w:color w:val="auto"/>
              </w:rPr>
            </w:pPr>
            <w:r>
              <w:rPr>
                <w:rFonts w:ascii="Arial" w:cs="Arial" w:eastAsia="Arial" w:hAnsi="Arial"/>
                <w:sz w:val="18"/>
                <w:szCs w:val="18"/>
                <w:color w:val="auto"/>
              </w:rPr>
              <w:t>Regional selling locations (a)</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1,375</w:t>
            </w:r>
          </w:p>
        </w:tc>
      </w:tr>
      <w:tr>
        <w:trPr>
          <w:trHeight w:val="22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(b)</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2"/>
        </w:trPr>
        <w:tc>
          <w:tcPr>
            <w:tcW w:w="618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440" w:hanging="31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Regional selling locations have assets that consist primarily of cash, accounts receivable and inventory which are not allocated to the segments.</w:t>
      </w:r>
    </w:p>
    <w:p>
      <w:pPr>
        <w:spacing w:after="0" w:line="165" w:lineRule="exact"/>
        <w:rPr>
          <w:rFonts w:ascii="Arial" w:cs="Arial" w:eastAsia="Arial" w:hAnsi="Arial"/>
          <w:sz w:val="16"/>
          <w:szCs w:val="16"/>
          <w:color w:val="auto"/>
        </w:rPr>
      </w:pPr>
    </w:p>
    <w:p>
      <w:pPr>
        <w:ind w:left="440" w:hanging="31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Corporate and other consists of items pertaining to our corporate headquarters function, which principally consist of cash and pension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2"/>
        </w:trPr>
        <w:tc>
          <w:tcPr>
            <w:tcW w:w="6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2019</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2,280</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28"/>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2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28"/>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r>
      <w:tr>
        <w:trPr>
          <w:trHeight w:val="242"/>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44"/>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82"/>
        </w:trPr>
        <w:tc>
          <w:tcPr>
            <w:tcW w:w="6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2019</w:t>
            </w:r>
          </w:p>
        </w:tc>
      </w:tr>
      <w:tr>
        <w:trPr>
          <w:trHeight w:val="222"/>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8"/>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8"/>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8"/>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2"/>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23. Valuation and Qualifying Accounts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allowance for credit losses over each period: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2019</w:t>
            </w: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576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left="874"/>
              <w:spacing w:after="0"/>
              <w:rPr>
                <w:sz w:val="20"/>
                <w:szCs w:val="20"/>
                <w:color w:val="auto"/>
              </w:rPr>
            </w:pPr>
            <w:r>
              <w:rPr>
                <w:rFonts w:ascii="Arial" w:cs="Arial" w:eastAsia="Arial" w:hAnsi="Arial"/>
                <w:sz w:val="18"/>
                <w:szCs w:val="18"/>
                <w:color w:val="auto"/>
                <w:w w:val="99"/>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Deductions/other</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576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874"/>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45" w:right="379" w:bottom="1440" w:gutter="0" w:footer="0" w:header="0"/>
        </w:sectPr>
      </w:pPr>
    </w:p>
    <w:bookmarkStart w:id="108" w:name="page109"/>
    <w:bookmarkEnd w:id="108"/>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2021 pursuant to Rule 13a-15(b) and 15d-15(e) of the Securities Exchange Act of 1934 (“the Exchange Act”). Based upon that evaluation, our CEO and our CFO concluded that our disclosure controls and procedures as of the year ended December 31, 2021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2"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234"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2021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2021.</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Deloitte &amp; Touche LLP, an independent registered public accounting firm, as stated in their report which appears following Item 9C of this Annual Report on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2021 that have materially affected, or are reasonably likely to materially affect, our internal control over financial reporting.</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109" w:name="page110"/>
    <w:bookmarkEnd w:id="109"/>
    <w:p>
      <w:pPr>
        <w:ind w:right="1839"/>
        <w:spacing w:after="0" w:line="254"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882" w:right="1440" w:bottom="1440" w:gutter="0" w:footer="0" w:header="0"/>
        </w:sectPr>
      </w:pPr>
    </w:p>
    <w:bookmarkStart w:id="110" w:name="page111"/>
    <w:bookmarkEnd w:id="110"/>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internal control over financial reporting of Xylem Inc. and subsidiaries (the "Company") as of</w:t>
      </w:r>
    </w:p>
    <w:p>
      <w:pPr>
        <w:spacing w:after="0" w:line="226" w:lineRule="auto"/>
        <w:rPr>
          <w:sz w:val="20"/>
          <w:szCs w:val="20"/>
          <w:color w:val="auto"/>
        </w:rPr>
      </w:pPr>
      <w:r>
        <w:rPr>
          <w:rFonts w:ascii="Arial" w:cs="Arial" w:eastAsia="Arial" w:hAnsi="Arial"/>
          <w:sz w:val="18"/>
          <w:szCs w:val="18"/>
          <w:color w:val="auto"/>
        </w:rPr>
        <w:t xml:space="preserve">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5"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w:t>
      </w:r>
    </w:p>
    <w:p>
      <w:pPr>
        <w:spacing w:after="0" w:line="218" w:lineRule="auto"/>
        <w:rPr>
          <w:sz w:val="20"/>
          <w:szCs w:val="20"/>
          <w:color w:val="auto"/>
        </w:rPr>
      </w:pPr>
      <w:r>
        <w:rPr>
          <w:rFonts w:ascii="Arial" w:cs="Arial" w:eastAsia="Arial" w:hAnsi="Arial"/>
          <w:sz w:val="18"/>
          <w:szCs w:val="18"/>
          <w:color w:val="auto"/>
        </w:rPr>
        <w:t>effectiveness of internal control over financial reporting, included in the accompanying</w:t>
      </w:r>
    </w:p>
    <w:p>
      <w:pPr>
        <w:ind w:right="20"/>
        <w:spacing w:after="0" w:line="226" w:lineRule="auto"/>
        <w:rPr>
          <w:sz w:val="20"/>
          <w:szCs w:val="20"/>
          <w:color w:val="auto"/>
        </w:rPr>
      </w:pPr>
      <w:r>
        <w:rPr>
          <w:rFonts w:ascii="Arial" w:cs="Arial" w:eastAsia="Arial" w:hAnsi="Arial"/>
          <w:sz w:val="18"/>
          <w:szCs w:val="18"/>
          <w:color w:val="auto"/>
        </w:rPr>
        <w:t>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8"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82" w:right="379" w:bottom="1440" w:gutter="0" w:footer="0" w:header="0"/>
        </w:sectPr>
      </w:pPr>
    </w:p>
    <w:bookmarkStart w:id="111" w:name="page112"/>
    <w:bookmarkEnd w:id="111"/>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Definitive Proxy Statement to be filed with the SEC in connection with our 2022 Annual Meeting of Shareholders (the “2022 Proxy Statement”) under the captions “Proposal 1 - Election of Directors,” "Board Composition and Refreshment," "Board Committees - Audit Committee," and "Audit Committee Report."</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Report under the caption “Information about our Executive Officers” and is incorporated by reference in this section.</w:t>
      </w:r>
    </w:p>
    <w:p>
      <w:pPr>
        <w:spacing w:after="0" w:line="144"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1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We have also adopted a written Code of Conduct which is applicable to all of our directors, officers and employees, including the Company’s CEO and CFO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7"/>
          <w:szCs w:val="17"/>
          <w:i w:val="1"/>
          <w:iCs w:val="1"/>
          <w:color w:val="auto"/>
        </w:rPr>
        <w:t>www.xylem.com</w:t>
      </w:r>
      <w:r>
        <w:rPr>
          <w:rFonts w:ascii="Arial" w:cs="Arial" w:eastAsia="Arial" w:hAnsi="Arial"/>
          <w:sz w:val="17"/>
          <w:szCs w:val="17"/>
          <w:color w:val="auto"/>
        </w:rPr>
        <w:t xml:space="preserve"> within four business days following the date of the amendment or waiver.</w:t>
      </w:r>
    </w:p>
    <w:p>
      <w:pPr>
        <w:spacing w:after="0" w:line="200" w:lineRule="exact"/>
        <w:rPr>
          <w:sz w:val="20"/>
          <w:szCs w:val="20"/>
          <w:color w:val="auto"/>
        </w:rPr>
      </w:pP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30"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2022 Proxy Statement set forth under captions “Compensation Discussion and Analysis," "Director Compensation," "Board Committees - Leadership Development and Compensation Committee" and “Leadership Development and Compensation Committee Report.”</w:t>
      </w:r>
    </w:p>
    <w:p>
      <w:pPr>
        <w:spacing w:after="0" w:line="200" w:lineRule="exact"/>
        <w:rPr>
          <w:sz w:val="20"/>
          <w:szCs w:val="20"/>
          <w:color w:val="auto"/>
        </w:rPr>
      </w:pPr>
    </w:p>
    <w:p>
      <w:pPr>
        <w:spacing w:after="0" w:line="330"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2022 Proxy Statement set forth under the captions “Stock Ownership - Certain Beneficial Owners," "Stock Ownership - Directors and Named Executive Officers" and "Equity Compensation Plan Information."</w:t>
      </w:r>
    </w:p>
    <w:p>
      <w:pPr>
        <w:spacing w:after="0" w:line="3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37"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The information required by this Item is incorporated herein by reference to the information in our 2022 Proxy Statement set forth under the captions "Corporate Governance - Director Independence" and “Corporate Governance Policies and Practices - Related Party Transactions.”</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2022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882" w:right="419" w:bottom="1440" w:gutter="0" w:footer="0" w:header="0"/>
        </w:sectPr>
      </w:pPr>
    </w:p>
    <w:bookmarkStart w:id="112" w:name="page113"/>
    <w:bookmarkEnd w:id="112"/>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78" w:lineRule="exact"/>
        <w:rPr>
          <w:sz w:val="20"/>
          <w:szCs w:val="20"/>
          <w:color w:val="auto"/>
        </w:rPr>
      </w:pPr>
    </w:p>
    <w:p>
      <w:pPr>
        <w:ind w:left="1080" w:right="580" w:hanging="1055"/>
        <w:spacing w:after="0" w:line="226" w:lineRule="auto"/>
        <w:tabs>
          <w:tab w:leader="none" w:pos="6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spacing w:after="0" w:line="13" w:lineRule="exact"/>
        <w:rPr>
          <w:rFonts w:ascii="Arial" w:cs="Arial" w:eastAsia="Arial" w:hAnsi="Arial"/>
          <w:sz w:val="18"/>
          <w:szCs w:val="18"/>
          <w:color w:val="auto"/>
        </w:rPr>
      </w:pPr>
    </w:p>
    <w:p>
      <w:pPr>
        <w:ind w:left="1080" w:hanging="450"/>
        <w:spacing w:after="0" w:line="226"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3" w:lineRule="exact"/>
        <w:rPr>
          <w:rFonts w:ascii="Arial" w:cs="Arial" w:eastAsia="Arial" w:hAnsi="Arial"/>
          <w:sz w:val="18"/>
          <w:szCs w:val="18"/>
          <w:color w:val="auto"/>
        </w:rPr>
      </w:pPr>
    </w:p>
    <w:p>
      <w:pPr>
        <w:ind w:left="1080" w:hanging="450"/>
        <w:spacing w:after="0"/>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434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46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4340" w:type="dxa"/>
            <w:vAlign w:val="bottom"/>
            <w:tcBorders>
              <w:bottom w:val="single" w:sz="8" w:color="auto"/>
            </w:tcBorders>
            <w:vMerge w:val="continue"/>
          </w:tcPr>
          <w:p>
            <w:pPr>
              <w:spacing w:after="0"/>
              <w:rPr>
                <w:sz w:val="15"/>
                <w:szCs w:val="15"/>
                <w:color w:val="auto"/>
              </w:rPr>
            </w:pPr>
          </w:p>
        </w:tc>
        <w:tc>
          <w:tcPr>
            <w:tcW w:w="4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800" w:type="dxa"/>
            <w:vAlign w:val="bottom"/>
            <w:gridSpan w:val="3"/>
          </w:tcPr>
          <w:p>
            <w:pPr>
              <w:jc w:val="right"/>
              <w:ind w:right="520"/>
              <w:spacing w:after="0"/>
              <w:rPr>
                <w:rFonts w:ascii="Arial" w:cs="Arial" w:eastAsia="Arial" w:hAnsi="Arial"/>
                <w:sz w:val="18"/>
                <w:szCs w:val="18"/>
                <w:color w:val="0000FF"/>
              </w:rPr>
            </w:pPr>
            <w:hyperlink r:id="rId131">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Distribution Agreement, dated as of October 25,</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10.1 of ITT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2011, among ITT Corporation, Exelis Inc. and Xylem</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Corporation’s Form 10-Q Quarterly Report 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w:t>
            </w:r>
          </w:p>
        </w:tc>
        <w:tc>
          <w:tcPr>
            <w:tcW w:w="4660" w:type="dxa"/>
            <w:vAlign w:val="bottom"/>
          </w:tcPr>
          <w:p>
            <w:pPr>
              <w:ind w:left="40"/>
              <w:spacing w:after="0"/>
              <w:rPr>
                <w:sz w:val="20"/>
                <w:szCs w:val="20"/>
                <w:color w:val="auto"/>
              </w:rPr>
            </w:pPr>
            <w:r>
              <w:rPr>
                <w:rFonts w:ascii="Arial" w:cs="Arial" w:eastAsia="Arial" w:hAnsi="Arial"/>
                <w:sz w:val="18"/>
                <w:szCs w:val="18"/>
                <w:color w:val="auto"/>
              </w:rPr>
              <w:t>October 28, 2011 (CIK No. 216228, File No. 1-5672).</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2">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Fourth Amended and Restated Articles of</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3.1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Incorporation of Xylem Inc.</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May 15, 2017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3">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Fourth Amended and Restated By-laws of Xylem</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3.2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Inc.</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May 15, 2017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4">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4340" w:type="dxa"/>
            <w:vAlign w:val="bottom"/>
          </w:tcPr>
          <w:p>
            <w:pPr>
              <w:ind w:left="160"/>
              <w:spacing w:after="0"/>
              <w:rPr>
                <w:sz w:val="20"/>
                <w:szCs w:val="20"/>
                <w:color w:val="auto"/>
              </w:rPr>
            </w:pPr>
            <w:r>
              <w:rPr>
                <w:rFonts w:ascii="Arial" w:cs="Arial" w:eastAsia="Arial" w:hAnsi="Arial"/>
                <w:sz w:val="18"/>
                <w:szCs w:val="18"/>
                <w:color w:val="auto"/>
                <w:w w:val="99"/>
              </w:rPr>
              <w:t>Description of securities registered under Section 12</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4.10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of the Exchange Act</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10-K Annual Report filed on February 28, 2020 (CIK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81"/>
        </w:trPr>
        <w:tc>
          <w:tcPr>
            <w:tcW w:w="800" w:type="dxa"/>
            <w:vAlign w:val="bottom"/>
            <w:gridSpan w:val="3"/>
          </w:tcPr>
          <w:p>
            <w:pPr>
              <w:jc w:val="right"/>
              <w:ind w:right="520"/>
              <w:spacing w:after="0"/>
              <w:rPr>
                <w:rFonts w:ascii="Arial" w:cs="Arial" w:eastAsia="Arial" w:hAnsi="Arial"/>
                <w:sz w:val="18"/>
                <w:szCs w:val="18"/>
                <w:color w:val="0000FF"/>
              </w:rPr>
            </w:pPr>
            <w:hyperlink r:id="rId135">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Indenture, dated as of September 20, 2011, between Incorporated by reference to Exhibit 4.2 of ITT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Xylem Inc., ITT Corporation, as initial guarantor, and</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Corporation’s Form 8-K filed on September 21, 2011 (CIK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Union Bank, N.A.,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No. 216228, File No. 1-5672).</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6">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Senior Indenture, dated March 11, 2016, by and</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between the Company and Deutsche Bank Trust</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March 11, 2016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Company Americas,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7">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First Supplemental Indenture, dated March 11, 2016, Incorporated by reference to Exhibit 4.2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by and between the Company and Deutsche Bank</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March 11, 2016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Trust Company Americas,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8">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Second Supplemental Indenture, dated March 11,</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4.3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2016, by and between the Company and Deutsche</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March 11, 2016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9">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Third Supplemental Indenture, dated October 11,</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2016, by and between the Company and Deutsche</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October 11, 2016 (CIK No. 1524472,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40">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Fourth Supplemental Indenture, dated June 26,</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ind w:left="160"/>
              <w:spacing w:after="0" w:line="154" w:lineRule="exact"/>
              <w:rPr>
                <w:sz w:val="20"/>
                <w:szCs w:val="20"/>
                <w:color w:val="auto"/>
              </w:rPr>
            </w:pPr>
            <w:r>
              <w:rPr>
                <w:rFonts w:ascii="Arial" w:cs="Arial" w:eastAsia="Arial" w:hAnsi="Arial"/>
                <w:sz w:val="17"/>
                <w:szCs w:val="17"/>
                <w:color w:val="auto"/>
              </w:rPr>
              <w:t>2020, by and between the Company and Deutsche</w:t>
            </w: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June 26, 2020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Bank Trust Company Americas, as trustee.</w:t>
            </w: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348"/>
        </w:trPr>
        <w:tc>
          <w:tcPr>
            <w:tcW w:w="800" w:type="dxa"/>
            <w:vAlign w:val="bottom"/>
            <w:gridSpan w:val="3"/>
          </w:tcPr>
          <w:p>
            <w:pPr>
              <w:jc w:val="right"/>
              <w:ind w:right="520"/>
              <w:spacing w:after="0"/>
              <w:rPr>
                <w:rFonts w:ascii="Arial" w:cs="Arial" w:eastAsia="Arial" w:hAnsi="Arial"/>
                <w:sz w:val="18"/>
                <w:szCs w:val="18"/>
                <w:color w:val="0000FF"/>
              </w:rPr>
            </w:pPr>
            <w:hyperlink r:id="rId138">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Form of Xylem Inc. 2.250% Senior Notes due 2023.</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4.3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dated March 11, 2016 (CIK No. 1524472,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41"/>
        </w:trPr>
        <w:tc>
          <w:tcPr>
            <w:tcW w:w="800" w:type="dxa"/>
            <w:vAlign w:val="bottom"/>
            <w:gridSpan w:val="3"/>
          </w:tcPr>
          <w:p>
            <w:pPr>
              <w:jc w:val="right"/>
              <w:ind w:right="520"/>
              <w:spacing w:after="0"/>
              <w:rPr>
                <w:rFonts w:ascii="Arial" w:cs="Arial" w:eastAsia="Arial" w:hAnsi="Arial"/>
                <w:sz w:val="18"/>
                <w:szCs w:val="18"/>
                <w:color w:val="0000FF"/>
              </w:rPr>
            </w:pPr>
            <w:hyperlink r:id="rId139">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4340" w:type="dxa"/>
            <w:vAlign w:val="bottom"/>
          </w:tcPr>
          <w:p>
            <w:pPr>
              <w:ind w:left="160"/>
              <w:spacing w:after="0"/>
              <w:rPr>
                <w:sz w:val="20"/>
                <w:szCs w:val="20"/>
                <w:color w:val="auto"/>
              </w:rPr>
            </w:pPr>
            <w:r>
              <w:rPr>
                <w:rFonts w:ascii="Arial" w:cs="Arial" w:eastAsia="Arial" w:hAnsi="Arial"/>
                <w:sz w:val="18"/>
                <w:szCs w:val="18"/>
                <w:color w:val="auto"/>
              </w:rPr>
              <w:t>Form of Xylem Inc. 3.250% Senior Notes due 2026.</w:t>
            </w:r>
          </w:p>
        </w:tc>
        <w:tc>
          <w:tcPr>
            <w:tcW w:w="4660" w:type="dxa"/>
            <w:vAlign w:val="bottom"/>
          </w:tcPr>
          <w:p>
            <w:pPr>
              <w:ind w:left="40"/>
              <w:spacing w:after="0"/>
              <w:rPr>
                <w:sz w:val="20"/>
                <w:szCs w:val="20"/>
                <w:color w:val="auto"/>
              </w:rPr>
            </w:pPr>
            <w:r>
              <w:rPr>
                <w:rFonts w:ascii="Arial" w:cs="Arial" w:eastAsia="Arial" w:hAnsi="Arial"/>
                <w:sz w:val="18"/>
                <w:szCs w:val="18"/>
                <w:color w:val="auto"/>
              </w:rPr>
              <w:t>Incorporated by reference to Exhibit 4.1 of Xylem Inc.’s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660" w:type="dxa"/>
            <w:vAlign w:val="bottom"/>
          </w:tcPr>
          <w:p>
            <w:pPr>
              <w:ind w:left="40"/>
              <w:spacing w:after="0" w:line="154" w:lineRule="exact"/>
              <w:rPr>
                <w:sz w:val="20"/>
                <w:szCs w:val="20"/>
                <w:color w:val="auto"/>
              </w:rPr>
            </w:pPr>
            <w:r>
              <w:rPr>
                <w:rFonts w:ascii="Arial" w:cs="Arial" w:eastAsia="Arial" w:hAnsi="Arial"/>
                <w:sz w:val="17"/>
                <w:szCs w:val="17"/>
                <w:color w:val="auto"/>
              </w:rPr>
              <w:t>Form 8-K filed on October 11, 2016 (CIK No. 1524472,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File No. 1-35229).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320" w:top="882" w:right="559" w:bottom="1440" w:gutter="0" w:footer="0" w:header="0"/>
        </w:sectPr>
      </w:pPr>
    </w:p>
    <w:bookmarkStart w:id="113" w:name="page114"/>
    <w:bookmarkEnd w:id="113"/>
    <w:tbl>
      <w:tblPr>
        <w:tblLayout w:type="fixed"/>
        <w:tblInd w:w="80" w:type="dxa"/>
        <w:tblCellMar>
          <w:top w:w="0" w:type="dxa"/>
          <w:left w:w="0" w:type="dxa"/>
          <w:bottom w:w="0" w:type="dxa"/>
          <w:right w:w="0" w:type="dxa"/>
        </w:tblCellMar>
      </w:tblPr>
      <w:tr>
        <w:trPr>
          <w:trHeight w:val="161"/>
        </w:trPr>
        <w:tc>
          <w:tcPr>
            <w:tcW w:w="1540" w:type="dxa"/>
            <w:vAlign w:val="bottom"/>
          </w:tcPr>
          <w:p>
            <w:pPr>
              <w:jc w:val="center"/>
              <w:ind w:right="928"/>
              <w:spacing w:after="0"/>
              <w:rPr>
                <w:sz w:val="20"/>
                <w:szCs w:val="20"/>
                <w:color w:val="auto"/>
              </w:rPr>
            </w:pPr>
            <w:r>
              <w:rPr>
                <w:rFonts w:ascii="Arial" w:cs="Arial" w:eastAsia="Arial" w:hAnsi="Arial"/>
                <w:sz w:val="14"/>
                <w:szCs w:val="14"/>
                <w:b w:val="1"/>
                <w:bCs w:val="1"/>
                <w:color w:val="auto"/>
                <w:w w:val="98"/>
              </w:rPr>
              <w:t>Exhibit</w:t>
            </w:r>
          </w:p>
        </w:tc>
        <w:tc>
          <w:tcPr>
            <w:tcW w:w="36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0"/>
        </w:trPr>
        <w:tc>
          <w:tcPr>
            <w:tcW w:w="1540" w:type="dxa"/>
            <w:vAlign w:val="bottom"/>
          </w:tcPr>
          <w:p>
            <w:pPr>
              <w:jc w:val="center"/>
              <w:ind w:right="928"/>
              <w:spacing w:after="0"/>
              <w:rPr>
                <w:sz w:val="20"/>
                <w:szCs w:val="20"/>
                <w:color w:val="auto"/>
              </w:rPr>
            </w:pPr>
            <w:r>
              <w:rPr>
                <w:rFonts w:ascii="Arial" w:cs="Arial" w:eastAsia="Arial" w:hAnsi="Arial"/>
                <w:sz w:val="14"/>
                <w:szCs w:val="14"/>
                <w:b w:val="1"/>
                <w:bCs w:val="1"/>
                <w:color w:val="auto"/>
              </w:rPr>
              <w:t>Number</w:t>
            </w:r>
          </w:p>
        </w:tc>
        <w:tc>
          <w:tcPr>
            <w:tcW w:w="36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62198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6219825" cy="8255"/>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sectPr>
      </w:pPr>
    </w:p>
    <w:p>
      <w:pPr>
        <w:spacing w:after="0" w:line="11" w:lineRule="exact"/>
        <w:rPr>
          <w:sz w:val="20"/>
          <w:szCs w:val="20"/>
          <w:color w:val="auto"/>
        </w:rPr>
      </w:pPr>
    </w:p>
    <w:p>
      <w:pPr>
        <w:spacing w:after="0"/>
        <w:tabs>
          <w:tab w:leader="none" w:pos="920" w:val="left"/>
        </w:tabs>
        <w:rPr>
          <w:rFonts w:ascii="Arial" w:cs="Arial" w:eastAsia="Arial" w:hAnsi="Arial"/>
          <w:sz w:val="18"/>
          <w:szCs w:val="18"/>
          <w:color w:val="0000FF"/>
        </w:rPr>
      </w:pPr>
      <w:hyperlink r:id="rId140">
        <w:r>
          <w:rPr>
            <w:rFonts w:ascii="Arial" w:cs="Arial" w:eastAsia="Arial" w:hAnsi="Arial"/>
            <w:sz w:val="18"/>
            <w:szCs w:val="18"/>
            <w:u w:val="single" w:color="auto"/>
            <w:color w:val="0000FF"/>
          </w:rPr>
          <w:t>4.10</w:t>
        </w:r>
      </w:hyperlink>
      <w:r>
        <w:rPr>
          <w:rFonts w:ascii="Arial" w:cs="Arial" w:eastAsia="Arial" w:hAnsi="Arial"/>
          <w:sz w:val="18"/>
          <w:szCs w:val="18"/>
          <w:color w:val="0000FF"/>
        </w:rPr>
        <w:tab/>
      </w:r>
      <w:r>
        <w:rPr>
          <w:rFonts w:ascii="Arial" w:cs="Arial" w:eastAsia="Arial" w:hAnsi="Arial"/>
          <w:sz w:val="17"/>
          <w:szCs w:val="17"/>
          <w:color w:val="0000FF"/>
        </w:rPr>
        <w:t>Form of 1.950% Senior Notes due 2028.</w:t>
      </w:r>
    </w:p>
    <w:p>
      <w:pPr>
        <w:spacing w:after="0" w:line="20" w:lineRule="exact"/>
        <w:rPr>
          <w:sz w:val="20"/>
          <w:szCs w:val="20"/>
          <w:color w:val="auto"/>
        </w:rPr>
      </w:pPr>
      <w:r>
        <w:rPr>
          <w:sz w:val="20"/>
          <w:szCs w:val="20"/>
          <w:color w:val="auto"/>
        </w:rPr>
        <w:br w:type="column"/>
      </w:r>
    </w:p>
    <w:p>
      <w:pPr>
        <w:jc w:val="both"/>
        <w:ind w:right="519"/>
        <w:spacing w:after="0" w:line="218" w:lineRule="auto"/>
        <w:rPr>
          <w:sz w:val="20"/>
          <w:szCs w:val="20"/>
          <w:color w:val="auto"/>
        </w:rPr>
      </w:pPr>
      <w:r>
        <w:rPr>
          <w:rFonts w:ascii="Arial" w:cs="Arial" w:eastAsia="Arial" w:hAnsi="Arial"/>
          <w:sz w:val="18"/>
          <w:szCs w:val="18"/>
          <w:color w:val="auto"/>
        </w:rPr>
        <w:t>Incorporated by reference to Exhibit 4.1 of Xylem Inc.’s Form 8-K filed on June 26, 2020 (CIK 1524472, File No. 1-35229)</w:t>
      </w:r>
    </w:p>
    <w:p>
      <w:pPr>
        <w:spacing w:after="0" w:line="67" w:lineRule="exact"/>
        <w:rPr>
          <w:sz w:val="20"/>
          <w:szCs w:val="20"/>
          <w:color w:val="auto"/>
        </w:rPr>
      </w:pPr>
    </w:p>
    <w:p>
      <w:pPr>
        <w:sectPr>
          <w:pgSz w:w="11900" w:h="16838" w:orient="portrait"/>
          <w:cols w:equalWidth="0" w:num="2">
            <w:col w:w="4440" w:space="720"/>
            <w:col w:w="4959"/>
          </w:cols>
          <w:pgMar w:left="340" w:top="1174" w:right="1440" w:bottom="1440" w:gutter="0" w:footer="0" w:header="0"/>
          <w:type w:val="continuous"/>
        </w:sectPr>
      </w:pPr>
    </w:p>
    <w:p>
      <w:pPr>
        <w:spacing w:after="0"/>
        <w:tabs>
          <w:tab w:leader="none" w:pos="920" w:val="left"/>
        </w:tabs>
        <w:rPr>
          <w:rFonts w:ascii="Arial" w:cs="Arial" w:eastAsia="Arial" w:hAnsi="Arial"/>
          <w:sz w:val="18"/>
          <w:szCs w:val="18"/>
          <w:color w:val="0000FF"/>
        </w:rPr>
      </w:pPr>
      <w:hyperlink r:id="rId140">
        <w:r>
          <w:rPr>
            <w:rFonts w:ascii="Arial" w:cs="Arial" w:eastAsia="Arial" w:hAnsi="Arial"/>
            <w:sz w:val="18"/>
            <w:szCs w:val="18"/>
            <w:u w:val="single" w:color="auto"/>
            <w:color w:val="0000FF"/>
          </w:rPr>
          <w:t>4.11</w:t>
        </w:r>
      </w:hyperlink>
      <w:r>
        <w:rPr>
          <w:rFonts w:ascii="Arial" w:cs="Arial" w:eastAsia="Arial" w:hAnsi="Arial"/>
          <w:sz w:val="18"/>
          <w:szCs w:val="18"/>
          <w:color w:val="0000FF"/>
        </w:rPr>
        <w:tab/>
      </w:r>
      <w:r>
        <w:rPr>
          <w:rFonts w:ascii="Arial" w:cs="Arial" w:eastAsia="Arial" w:hAnsi="Arial"/>
          <w:sz w:val="17"/>
          <w:szCs w:val="17"/>
          <w:color w:val="0000FF"/>
        </w:rPr>
        <w:t>Form of 2.250% Senior Notes due 2031.</w:t>
      </w:r>
    </w:p>
    <w:p>
      <w:pPr>
        <w:spacing w:after="0" w:line="20" w:lineRule="exact"/>
        <w:rPr>
          <w:sz w:val="20"/>
          <w:szCs w:val="20"/>
          <w:color w:val="auto"/>
        </w:rPr>
      </w:pPr>
      <w:r>
        <w:rPr>
          <w:sz w:val="20"/>
          <w:szCs w:val="20"/>
          <w:color w:val="auto"/>
        </w:rPr>
        <w:br w:type="column"/>
      </w:r>
    </w:p>
    <w:p>
      <w:pPr>
        <w:jc w:val="both"/>
        <w:ind w:right="519"/>
        <w:spacing w:after="0" w:line="218" w:lineRule="auto"/>
        <w:rPr>
          <w:sz w:val="20"/>
          <w:szCs w:val="20"/>
          <w:color w:val="auto"/>
        </w:rPr>
      </w:pPr>
      <w:r>
        <w:rPr>
          <w:rFonts w:ascii="Arial" w:cs="Arial" w:eastAsia="Arial" w:hAnsi="Arial"/>
          <w:sz w:val="18"/>
          <w:szCs w:val="18"/>
          <w:color w:val="auto"/>
        </w:rPr>
        <w:t>Incorporated by reference to Exhibit 4.1 of Xylem Inc.’s Form 8-K filed on June 26, 2020 (CIK 1524472, File No. 1-35229)</w:t>
      </w:r>
    </w:p>
    <w:p>
      <w:pPr>
        <w:spacing w:after="0" w:line="67" w:lineRule="exact"/>
        <w:rPr>
          <w:sz w:val="20"/>
          <w:szCs w:val="20"/>
          <w:color w:val="auto"/>
        </w:rPr>
      </w:pPr>
    </w:p>
    <w:p>
      <w:pPr>
        <w:sectPr>
          <w:pgSz w:w="11900" w:h="16838" w:orient="portrait"/>
          <w:cols w:equalWidth="0" w:num="2">
            <w:col w:w="4440" w:space="720"/>
            <w:col w:w="4959"/>
          </w:cols>
          <w:pgMar w:left="340" w:top="1174" w:right="1440" w:bottom="1440" w:gutter="0" w:footer="0" w:header="0"/>
          <w:type w:val="continuous"/>
        </w:sectPr>
      </w:pPr>
    </w:p>
    <w:p>
      <w:pPr>
        <w:spacing w:after="0"/>
        <w:tabs>
          <w:tab w:leader="none" w:pos="920" w:val="left"/>
        </w:tabs>
        <w:rPr>
          <w:rFonts w:ascii="Arial" w:cs="Arial" w:eastAsia="Arial" w:hAnsi="Arial"/>
          <w:sz w:val="18"/>
          <w:szCs w:val="18"/>
          <w:color w:val="0000FF"/>
        </w:rPr>
      </w:pPr>
      <w:hyperlink r:id="rId139">
        <w:r>
          <w:rPr>
            <w:rFonts w:ascii="Arial" w:cs="Arial" w:eastAsia="Arial" w:hAnsi="Arial"/>
            <w:sz w:val="18"/>
            <w:szCs w:val="18"/>
            <w:u w:val="single" w:color="auto"/>
            <w:color w:val="0000FF"/>
          </w:rPr>
          <w:t>4.12</w:t>
        </w:r>
      </w:hyperlink>
      <w:r>
        <w:rPr>
          <w:rFonts w:ascii="Arial" w:cs="Arial" w:eastAsia="Arial" w:hAnsi="Arial"/>
          <w:sz w:val="18"/>
          <w:szCs w:val="18"/>
          <w:color w:val="0000FF"/>
        </w:rPr>
        <w:tab/>
      </w:r>
      <w:r>
        <w:rPr>
          <w:rFonts w:ascii="Arial" w:cs="Arial" w:eastAsia="Arial" w:hAnsi="Arial"/>
          <w:sz w:val="17"/>
          <w:szCs w:val="17"/>
          <w:color w:val="0000FF"/>
        </w:rPr>
        <w:t>Form of Xylem Inc. 4.375% Senior Notes due 2046.</w:t>
      </w:r>
    </w:p>
    <w:p>
      <w:pPr>
        <w:spacing w:after="0" w:line="200" w:lineRule="exact"/>
        <w:rPr>
          <w:sz w:val="20"/>
          <w:szCs w:val="20"/>
          <w:color w:val="auto"/>
        </w:rPr>
      </w:pPr>
    </w:p>
    <w:p>
      <w:pPr>
        <w:spacing w:after="0" w:line="225" w:lineRule="exact"/>
        <w:rPr>
          <w:sz w:val="20"/>
          <w:szCs w:val="20"/>
          <w:color w:val="auto"/>
        </w:rPr>
      </w:pPr>
    </w:p>
    <w:p>
      <w:pPr>
        <w:ind w:left="940" w:hanging="926"/>
        <w:spacing w:after="0" w:line="218" w:lineRule="auto"/>
        <w:tabs>
          <w:tab w:leader="none" w:pos="920" w:val="left"/>
        </w:tabs>
        <w:rPr>
          <w:rFonts w:ascii="Arial" w:cs="Arial" w:eastAsia="Arial" w:hAnsi="Arial"/>
          <w:sz w:val="18"/>
          <w:szCs w:val="18"/>
          <w:color w:val="0000FF"/>
        </w:rPr>
      </w:pPr>
      <w:hyperlink r:id="rId143">
        <w:r>
          <w:rPr>
            <w:rFonts w:ascii="Arial" w:cs="Arial" w:eastAsia="Arial" w:hAnsi="Arial"/>
            <w:sz w:val="18"/>
            <w:szCs w:val="18"/>
            <w:u w:val="single" w:color="auto"/>
            <w:color w:val="0000FF"/>
          </w:rPr>
          <w:t>10.1</w:t>
        </w:r>
      </w:hyperlink>
      <w:r>
        <w:rPr>
          <w:rFonts w:ascii="Arial" w:cs="Arial" w:eastAsia="Arial" w:hAnsi="Arial"/>
          <w:sz w:val="18"/>
          <w:szCs w:val="18"/>
          <w:color w:val="0000FF"/>
        </w:rPr>
        <w:tab/>
        <w:t>Tax Matters Agreement, dated as of October 25, 2011, among ITT Corporation, Exelis Inc. and Xylem Inc.</w:t>
      </w:r>
    </w:p>
    <w:p>
      <w:pPr>
        <w:spacing w:after="0" w:line="67" w:lineRule="exact"/>
        <w:rPr>
          <w:sz w:val="20"/>
          <w:szCs w:val="20"/>
          <w:color w:val="auto"/>
        </w:rPr>
      </w:pPr>
    </w:p>
    <w:p>
      <w:pPr>
        <w:ind w:left="740" w:right="160" w:hanging="926"/>
        <w:spacing w:after="0" w:line="226" w:lineRule="auto"/>
        <w:tabs>
          <w:tab w:leader="none" w:pos="720" w:val="left"/>
        </w:tabs>
        <w:rPr>
          <w:rFonts w:ascii="Arial" w:cs="Arial" w:eastAsia="Arial" w:hAnsi="Arial"/>
          <w:sz w:val="18"/>
          <w:szCs w:val="18"/>
          <w:color w:val="0000FF"/>
        </w:rPr>
      </w:pPr>
      <w:hyperlink r:id="rId144">
        <w:r>
          <w:rPr>
            <w:rFonts w:ascii="Arial" w:cs="Arial" w:eastAsia="Arial" w:hAnsi="Arial"/>
            <w:sz w:val="18"/>
            <w:szCs w:val="18"/>
            <w:u w:val="single" w:color="auto"/>
            <w:color w:val="0000FF"/>
          </w:rPr>
          <w:t>10.2</w:t>
        </w:r>
      </w:hyperlink>
      <w:r>
        <w:rPr>
          <w:rFonts w:ascii="Arial" w:cs="Arial" w:eastAsia="Arial" w:hAnsi="Arial"/>
          <w:sz w:val="18"/>
          <w:szCs w:val="18"/>
          <w:color w:val="0000FF"/>
        </w:rPr>
        <w:tab/>
        <w:t># Xylem 2011 Omnibus Incentive Plan (Amended as of February 24, 2016).</w:t>
      </w:r>
    </w:p>
    <w:p>
      <w:pPr>
        <w:spacing w:after="0" w:line="20" w:lineRule="exact"/>
        <w:rPr>
          <w:sz w:val="20"/>
          <w:szCs w:val="20"/>
          <w:color w:val="auto"/>
        </w:rPr>
      </w:pPr>
      <w:r>
        <w:rPr>
          <w:sz w:val="20"/>
          <w:szCs w:val="20"/>
          <w:color w:val="auto"/>
        </w:rPr>
        <w:br w:type="column"/>
      </w:r>
    </w:p>
    <w:p>
      <w:pPr>
        <w:jc w:val="both"/>
        <w:ind w:right="599"/>
        <w:spacing w:after="0" w:line="218" w:lineRule="auto"/>
        <w:rPr>
          <w:sz w:val="20"/>
          <w:szCs w:val="20"/>
          <w:color w:val="auto"/>
        </w:rPr>
      </w:pPr>
      <w:r>
        <w:rPr>
          <w:rFonts w:ascii="Arial" w:cs="Arial" w:eastAsia="Arial" w:hAnsi="Arial"/>
          <w:sz w:val="18"/>
          <w:szCs w:val="18"/>
          <w:color w:val="auto"/>
        </w:rPr>
        <w:t>Incorporated by reference to Exhibit 4.1 of Xylem Inc.’s Form 8-K filed on October 11, 2016 (CIK No. 1524472, File No. 1-35229).</w:t>
      </w:r>
    </w:p>
    <w:p>
      <w:pPr>
        <w:spacing w:after="0" w:line="67" w:lineRule="exact"/>
        <w:rPr>
          <w:sz w:val="20"/>
          <w:szCs w:val="20"/>
          <w:color w:val="auto"/>
        </w:rPr>
      </w:pPr>
    </w:p>
    <w:p>
      <w:pPr>
        <w:ind w:right="759"/>
        <w:spacing w:after="0" w:line="231" w:lineRule="auto"/>
        <w:rPr>
          <w:sz w:val="20"/>
          <w:szCs w:val="20"/>
          <w:color w:val="auto"/>
        </w:rPr>
      </w:pPr>
      <w:r>
        <w:rPr>
          <w:rFonts w:ascii="Arial" w:cs="Arial" w:eastAsia="Arial" w:hAnsi="Arial"/>
          <w:sz w:val="17"/>
          <w:szCs w:val="17"/>
          <w:color w:val="auto"/>
        </w:rPr>
        <w:t>Incorporated by reference to Exhibit 10.3 of ITT Corporation’s Form 10-Q Quarterly Report filed on October 28, 2011 (CIK No. 216228, File No. 1-5672).</w:t>
      </w:r>
    </w:p>
    <w:p>
      <w:pPr>
        <w:spacing w:after="0" w:line="67" w:lineRule="exact"/>
        <w:rPr>
          <w:sz w:val="20"/>
          <w:szCs w:val="20"/>
          <w:color w:val="auto"/>
        </w:rPr>
      </w:pPr>
    </w:p>
    <w:p>
      <w:pPr>
        <w:ind w:right="359"/>
        <w:spacing w:after="0" w:line="218" w:lineRule="auto"/>
        <w:rPr>
          <w:sz w:val="20"/>
          <w:szCs w:val="20"/>
          <w:color w:val="auto"/>
        </w:rPr>
      </w:pPr>
      <w:r>
        <w:rPr>
          <w:rFonts w:ascii="Arial" w:cs="Arial" w:eastAsia="Arial" w:hAnsi="Arial"/>
          <w:sz w:val="18"/>
          <w:szCs w:val="18"/>
          <w:color w:val="auto"/>
        </w:rPr>
        <w:t>Incorporated by reference to Exhibit 10.6 of Xylem Inc.'s Form 10-K Annual Report filed on February 26, 2016 (CIK No. 1524472, File No. 1-35229).</w:t>
      </w:r>
    </w:p>
    <w:p>
      <w:pPr>
        <w:spacing w:after="0" w:line="35" w:lineRule="exact"/>
        <w:rPr>
          <w:sz w:val="20"/>
          <w:szCs w:val="20"/>
          <w:color w:val="auto"/>
        </w:rPr>
      </w:pPr>
    </w:p>
    <w:p>
      <w:pPr>
        <w:sectPr>
          <w:pgSz w:w="11900" w:h="16838" w:orient="portrait"/>
          <w:cols w:equalWidth="0" w:num="2">
            <w:col w:w="5100" w:space="60"/>
            <w:col w:w="4959"/>
          </w:cols>
          <w:pgMar w:left="340" w:top="1174"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145">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Xylem Retirement Savings Plan.</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55"/>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60" w:type="dxa"/>
            <w:vAlign w:val="bottom"/>
          </w:tcPr>
          <w:p>
            <w:pPr>
              <w:ind w:left="260"/>
              <w:spacing w:after="0" w:line="154" w:lineRule="exact"/>
              <w:rPr>
                <w:sz w:val="20"/>
                <w:szCs w:val="20"/>
                <w:color w:val="auto"/>
              </w:rPr>
            </w:pPr>
            <w:r>
              <w:rPr>
                <w:rFonts w:ascii="Arial" w:cs="Arial" w:eastAsia="Arial" w:hAnsi="Arial"/>
                <w:sz w:val="17"/>
                <w:szCs w:val="17"/>
                <w:color w:val="auto"/>
              </w:rPr>
              <w:t>Form 10-Q Quarterly Report filed on July 30, 2013 (CIK</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No. 1524472, File No. 1-35229).</w:t>
            </w:r>
          </w:p>
        </w:tc>
      </w:tr>
      <w:tr>
        <w:trPr>
          <w:trHeight w:val="241"/>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146">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Xylem Supplemental Retirement Savings Plan.</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10.11 of Xylem Inc.’s</w:t>
            </w:r>
          </w:p>
        </w:tc>
      </w:tr>
      <w:tr>
        <w:trPr>
          <w:trHeight w:val="155"/>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60" w:type="dxa"/>
            <w:vAlign w:val="bottom"/>
          </w:tcPr>
          <w:p>
            <w:pPr>
              <w:ind w:left="260"/>
              <w:spacing w:after="0" w:line="154" w:lineRule="exact"/>
              <w:rPr>
                <w:sz w:val="20"/>
                <w:szCs w:val="20"/>
                <w:color w:val="auto"/>
              </w:rPr>
            </w:pPr>
            <w:r>
              <w:rPr>
                <w:rFonts w:ascii="Arial" w:cs="Arial" w:eastAsia="Arial" w:hAnsi="Arial"/>
                <w:sz w:val="17"/>
                <w:szCs w:val="17"/>
                <w:color w:val="auto"/>
              </w:rPr>
              <w:t>Form 10-Q Quarterly Report filed on November 21, 2011</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(CIK No. 1524472, File No. 1-35229).</w:t>
            </w:r>
          </w:p>
        </w:tc>
      </w:tr>
      <w:tr>
        <w:trPr>
          <w:trHeight w:val="241"/>
        </w:trPr>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5</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20" w:type="dxa"/>
            <w:vAlign w:val="bottom"/>
          </w:tcPr>
          <w:p>
            <w:pPr>
              <w:ind w:left="60"/>
              <w:spacing w:after="0"/>
              <w:rPr>
                <w:sz w:val="20"/>
                <w:szCs w:val="20"/>
                <w:color w:val="auto"/>
              </w:rPr>
            </w:pPr>
            <w:r>
              <w:rPr>
                <w:rFonts w:ascii="Arial" w:cs="Arial" w:eastAsia="Arial" w:hAnsi="Arial"/>
                <w:sz w:val="18"/>
                <w:szCs w:val="18"/>
                <w:color w:val="auto"/>
              </w:rPr>
              <w:t>Xylem Deferred Compensation Plan.</w:t>
            </w:r>
          </w:p>
        </w:tc>
        <w:tc>
          <w:tcPr>
            <w:tcW w:w="486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10.12 of Xylem Inc.'s</w:t>
            </w:r>
          </w:p>
        </w:tc>
      </w:tr>
      <w:tr>
        <w:trPr>
          <w:trHeight w:val="155"/>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60" w:type="dxa"/>
            <w:vAlign w:val="bottom"/>
          </w:tcPr>
          <w:p>
            <w:pPr>
              <w:ind w:left="260"/>
              <w:spacing w:after="0" w:line="154" w:lineRule="exact"/>
              <w:rPr>
                <w:sz w:val="20"/>
                <w:szCs w:val="20"/>
                <w:color w:val="auto"/>
              </w:rPr>
            </w:pPr>
            <w:r>
              <w:rPr>
                <w:rFonts w:ascii="Arial" w:cs="Arial" w:eastAsia="Arial" w:hAnsi="Arial"/>
                <w:sz w:val="17"/>
                <w:szCs w:val="17"/>
                <w:color w:val="auto"/>
              </w:rPr>
              <w:t>Form 10-K Annual Report filed on February 23, 2017 (CIK</w:t>
            </w: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No. 1524472, File No. 1-35229).</w:t>
            </w:r>
          </w:p>
        </w:tc>
      </w:tr>
    </w:tbl>
    <w:p>
      <w:pPr>
        <w:spacing w:after="0" w:line="66" w:lineRule="exact"/>
        <w:rPr>
          <w:sz w:val="20"/>
          <w:szCs w:val="20"/>
          <w:color w:val="auto"/>
        </w:rPr>
      </w:pPr>
    </w:p>
    <w:p>
      <w:pPr>
        <w:sectPr>
          <w:pgSz w:w="11900" w:h="16838" w:orient="portrait"/>
          <w:cols w:equalWidth="0" w:num="1">
            <w:col w:w="10119"/>
          </w:cols>
          <w:pgMar w:left="340" w:top="1174" w:right="1440" w:bottom="1440" w:gutter="0" w:footer="0" w:header="0"/>
          <w:type w:val="continuous"/>
        </w:sectPr>
      </w:pPr>
    </w:p>
    <w:p>
      <w:pPr>
        <w:ind w:left="740" w:hanging="926"/>
        <w:spacing w:after="0" w:line="214" w:lineRule="auto"/>
        <w:tabs>
          <w:tab w:leader="none" w:pos="72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10.6</w:t>
        </w:r>
      </w:hyperlink>
      <w:r>
        <w:rPr>
          <w:rFonts w:ascii="Arial" w:cs="Arial" w:eastAsia="Arial" w:hAnsi="Arial"/>
          <w:sz w:val="18"/>
          <w:szCs w:val="18"/>
          <w:color w:val="0000FF"/>
        </w:rPr>
        <w:tab/>
        <w:t># Xylem Annual Incentive Plan for the Senior Leadership Team (formally "Annual Incentive Plan for Executive Officers") restated, with administrative changes only, on August 11, 2020</w:t>
      </w:r>
    </w:p>
    <w:p>
      <w:pPr>
        <w:spacing w:after="0" w:line="68" w:lineRule="exact"/>
        <w:rPr>
          <w:sz w:val="20"/>
          <w:szCs w:val="20"/>
          <w:color w:val="auto"/>
        </w:rPr>
      </w:pPr>
    </w:p>
    <w:p>
      <w:pPr>
        <w:ind w:left="740" w:right="300" w:hanging="926"/>
        <w:spacing w:after="0" w:line="226" w:lineRule="auto"/>
        <w:tabs>
          <w:tab w:leader="none" w:pos="720" w:val="left"/>
        </w:tabs>
        <w:rPr>
          <w:rFonts w:ascii="Arial" w:cs="Arial" w:eastAsia="Arial" w:hAnsi="Arial"/>
          <w:sz w:val="18"/>
          <w:szCs w:val="18"/>
          <w:color w:val="0000FF"/>
        </w:rPr>
      </w:pPr>
      <w:hyperlink r:id="rId149">
        <w:r>
          <w:rPr>
            <w:rFonts w:ascii="Arial" w:cs="Arial" w:eastAsia="Arial" w:hAnsi="Arial"/>
            <w:sz w:val="18"/>
            <w:szCs w:val="18"/>
            <w:u w:val="single" w:color="auto"/>
            <w:color w:val="0000FF"/>
          </w:rPr>
          <w:t>10.7</w:t>
        </w:r>
      </w:hyperlink>
      <w:r>
        <w:rPr>
          <w:rFonts w:ascii="Arial" w:cs="Arial" w:eastAsia="Arial" w:hAnsi="Arial"/>
          <w:sz w:val="18"/>
          <w:szCs w:val="18"/>
          <w:color w:val="0000FF"/>
        </w:rPr>
        <w:tab/>
        <w:t># Xylem Special Senior Executive Severance Pay Plan (Amended as of February 24, 2016).</w:t>
      </w:r>
    </w:p>
    <w:p>
      <w:pPr>
        <w:spacing w:after="0" w:line="20" w:lineRule="exact"/>
        <w:rPr>
          <w:sz w:val="20"/>
          <w:szCs w:val="20"/>
          <w:color w:val="auto"/>
        </w:rPr>
      </w:pPr>
      <w:r>
        <w:rPr>
          <w:sz w:val="20"/>
          <w:szCs w:val="20"/>
          <w:color w:val="auto"/>
        </w:rPr>
        <w:br w:type="column"/>
      </w:r>
    </w:p>
    <w:p>
      <w:pPr>
        <w:ind w:right="519"/>
        <w:spacing w:after="0" w:line="218" w:lineRule="auto"/>
        <w:rPr>
          <w:sz w:val="20"/>
          <w:szCs w:val="20"/>
          <w:color w:val="auto"/>
        </w:rPr>
      </w:pPr>
      <w:r>
        <w:rPr>
          <w:rFonts w:ascii="Arial" w:cs="Arial" w:eastAsia="Arial" w:hAnsi="Arial"/>
          <w:sz w:val="18"/>
          <w:szCs w:val="18"/>
          <w:color w:val="auto"/>
        </w:rPr>
        <w:t>Incorporated by reference to Exhibit 10.1 of Xylem Inc.'s Form 10-Q Quarterly Report filed on October 29, 2020 (CIK No. 1524472, File No. 1-35229).</w:t>
      </w:r>
    </w:p>
    <w:p>
      <w:pPr>
        <w:spacing w:after="0" w:line="242" w:lineRule="exact"/>
        <w:rPr>
          <w:sz w:val="20"/>
          <w:szCs w:val="20"/>
          <w:color w:val="auto"/>
        </w:rPr>
      </w:pPr>
    </w:p>
    <w:p>
      <w:pPr>
        <w:jc w:val="both"/>
        <w:ind w:right="359"/>
        <w:spacing w:after="0" w:line="218" w:lineRule="auto"/>
        <w:rPr>
          <w:sz w:val="20"/>
          <w:szCs w:val="20"/>
          <w:color w:val="auto"/>
        </w:rPr>
      </w:pPr>
      <w:r>
        <w:rPr>
          <w:rFonts w:ascii="Arial" w:cs="Arial" w:eastAsia="Arial" w:hAnsi="Arial"/>
          <w:sz w:val="18"/>
          <w:szCs w:val="18"/>
          <w:color w:val="auto"/>
        </w:rPr>
        <w:t>Incorporated by reference to Exhibit 10.15 of Xylem Inc.'s Form 10-K Annual Report filed on February 26, 2016 (CIK No. 1524472, File No. 1-35229).</w:t>
      </w:r>
    </w:p>
    <w:p>
      <w:pPr>
        <w:spacing w:after="0" w:line="75" w:lineRule="exact"/>
        <w:rPr>
          <w:sz w:val="20"/>
          <w:szCs w:val="20"/>
          <w:color w:val="auto"/>
        </w:rPr>
      </w:pPr>
    </w:p>
    <w:p>
      <w:pPr>
        <w:sectPr>
          <w:pgSz w:w="11900" w:h="16838" w:orient="portrait"/>
          <w:cols w:equalWidth="0" w:num="2">
            <w:col w:w="5020" w:space="140"/>
            <w:col w:w="4959"/>
          </w:cols>
          <w:pgMar w:left="340" w:top="1174"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0000FF"/>
            </w:tcBorders>
          </w:tcPr>
          <w:p>
            <w:pPr>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8</w:t>
              </w:r>
            </w:hyperlink>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Xylem Senior Executive Severance Pay Plan</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55"/>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(Amended as of May 10, 2017).</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10-Q Quarterly Report filed on August 1, 2017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360" w:type="dxa"/>
            <w:vAlign w:val="bottom"/>
            <w:tcBorders>
              <w:bottom w:val="single" w:sz="8" w:color="0000FF"/>
            </w:tcBorders>
          </w:tcPr>
          <w:p>
            <w:pPr>
              <w:spacing w:after="0"/>
              <w:rPr>
                <w:rFonts w:ascii="Arial" w:cs="Arial" w:eastAsia="Arial" w:hAnsi="Arial"/>
                <w:sz w:val="18"/>
                <w:szCs w:val="18"/>
                <w:color w:val="0000FF"/>
                <w:w w:val="96"/>
              </w:rPr>
            </w:pPr>
            <w:hyperlink r:id="rId151">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9</w:t>
              </w:r>
            </w:hyperlink>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 Form of Xylem 2011 Omnibus Incentive Plan Non-</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55"/>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Qualified Stock Option Award Agreement (2015).</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10-K Annual Report filed on February 26, 2015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600" w:type="dxa"/>
            <w:vAlign w:val="bottom"/>
            <w:gridSpan w:val="3"/>
          </w:tcPr>
          <w:p>
            <w:pPr>
              <w:spacing w:after="0"/>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Form of Xylem 2011 Omnibus Incentive Plan Non-</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55"/>
        </w:trPr>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Qualified Stock Option Award Agreement (2013).</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10-Q Quarterly Report filed on April 30, 2013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600" w:type="dxa"/>
            <w:vAlign w:val="bottom"/>
            <w:gridSpan w:val="3"/>
          </w:tcPr>
          <w:p>
            <w:pPr>
              <w:spacing w:after="0"/>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Form of Xylem Non-Qualified Stock Option Award</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10.7 of Xylem Inc.'s</w:t>
            </w:r>
          </w:p>
        </w:tc>
      </w:tr>
      <w:tr>
        <w:trPr>
          <w:trHeight w:val="155"/>
        </w:trPr>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Agreement (Amended as of February 24, 2016).</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10-K Annual Report filed on February 26, 2016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600" w:type="dxa"/>
            <w:vAlign w:val="bottom"/>
            <w:gridSpan w:val="3"/>
          </w:tcPr>
          <w:p>
            <w:pPr>
              <w:spacing w:after="0"/>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Form of Xylem Restricted Stock Unit Agreement</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10.31 of Xylem Inc.'s</w:t>
            </w:r>
          </w:p>
        </w:tc>
      </w:tr>
      <w:tr>
        <w:trPr>
          <w:trHeight w:val="155"/>
        </w:trPr>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(Amended as of February 21, 2018).</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10-K Annual Report filed on February 23, 2018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1"/>
        </w:trPr>
        <w:tc>
          <w:tcPr>
            <w:tcW w:w="600" w:type="dxa"/>
            <w:vAlign w:val="bottom"/>
            <w:gridSpan w:val="3"/>
          </w:tcPr>
          <w:p>
            <w:pPr>
              <w:spacing w:after="0"/>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0" w:type="dxa"/>
            <w:vAlign w:val="bottom"/>
          </w:tcPr>
          <w:p>
            <w:pPr>
              <w:ind w:left="60"/>
              <w:spacing w:after="0"/>
              <w:rPr>
                <w:sz w:val="20"/>
                <w:szCs w:val="20"/>
                <w:color w:val="auto"/>
              </w:rPr>
            </w:pPr>
            <w:r>
              <w:rPr>
                <w:rFonts w:ascii="Arial" w:cs="Arial" w:eastAsia="Arial" w:hAnsi="Arial"/>
                <w:sz w:val="18"/>
                <w:szCs w:val="18"/>
                <w:color w:val="auto"/>
              </w:rPr>
              <w:t>Form of Xylem Performance Share Unit Agreement</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10.32 of Xylem Inc.'s</w:t>
            </w:r>
          </w:p>
        </w:tc>
      </w:tr>
      <w:tr>
        <w:trPr>
          <w:trHeight w:val="155"/>
        </w:trPr>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0" w:type="dxa"/>
            <w:vAlign w:val="bottom"/>
          </w:tcPr>
          <w:p>
            <w:pPr>
              <w:ind w:left="60"/>
              <w:spacing w:after="0" w:line="154" w:lineRule="exact"/>
              <w:rPr>
                <w:sz w:val="20"/>
                <w:szCs w:val="20"/>
                <w:color w:val="auto"/>
              </w:rPr>
            </w:pPr>
            <w:r>
              <w:rPr>
                <w:rFonts w:ascii="Arial" w:cs="Arial" w:eastAsia="Arial" w:hAnsi="Arial"/>
                <w:sz w:val="17"/>
                <w:szCs w:val="17"/>
                <w:color w:val="auto"/>
              </w:rPr>
              <w:t>(Amended as of February 21, 2018).</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10-K Annual Report filed on February 23, 2018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2"/>
        </w:trPr>
        <w:tc>
          <w:tcPr>
            <w:tcW w:w="600" w:type="dxa"/>
            <w:vAlign w:val="bottom"/>
            <w:gridSpan w:val="3"/>
          </w:tcPr>
          <w:p>
            <w:pPr>
              <w:spacing w:after="0"/>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4480" w:type="dxa"/>
            <w:vAlign w:val="bottom"/>
            <w:gridSpan w:val="2"/>
          </w:tcPr>
          <w:p>
            <w:pPr>
              <w:ind w:left="160"/>
              <w:spacing w:after="0"/>
              <w:rPr>
                <w:sz w:val="20"/>
                <w:szCs w:val="20"/>
                <w:color w:val="auto"/>
              </w:rPr>
            </w:pPr>
            <w:r>
              <w:rPr>
                <w:rFonts w:ascii="Arial" w:cs="Arial" w:eastAsia="Arial" w:hAnsi="Arial"/>
                <w:sz w:val="18"/>
                <w:szCs w:val="18"/>
                <w:color w:val="auto"/>
              </w:rPr>
              <w:t># Form of Xylem 2011 Omnibus Incentive Plan Non-</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10.3 of Xylem Inc.’s</w:t>
            </w:r>
          </w:p>
        </w:tc>
      </w:tr>
      <w:tr>
        <w:trPr>
          <w:trHeight w:val="182"/>
        </w:trPr>
        <w:tc>
          <w:tcPr>
            <w:tcW w:w="3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0" w:type="dxa"/>
            <w:vAlign w:val="bottom"/>
          </w:tcPr>
          <w:p>
            <w:pPr>
              <w:ind w:left="60"/>
              <w:spacing w:after="0" w:line="182" w:lineRule="exact"/>
              <w:rPr>
                <w:sz w:val="20"/>
                <w:szCs w:val="20"/>
                <w:color w:val="auto"/>
              </w:rPr>
            </w:pPr>
            <w:r>
              <w:rPr>
                <w:rFonts w:ascii="Arial" w:cs="Arial" w:eastAsia="Arial" w:hAnsi="Arial"/>
                <w:sz w:val="18"/>
                <w:szCs w:val="18"/>
                <w:color w:val="auto"/>
              </w:rPr>
              <w:t>Qualified Stock Option Award Agreement (2021).</w:t>
            </w:r>
          </w:p>
        </w:tc>
        <w:tc>
          <w:tcPr>
            <w:tcW w:w="468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r>
      <w:tr>
        <w:trPr>
          <w:trHeight w:val="216"/>
        </w:trPr>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19"/>
          </w:cols>
          <w:pgMar w:left="340" w:top="1174" w:right="1440"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320" w:type="dxa"/>
            <w:vAlign w:val="bottom"/>
          </w:tcPr>
          <w:p>
            <w:pPr>
              <w:spacing w:after="0"/>
              <w:rPr>
                <w:sz w:val="14"/>
                <w:szCs w:val="14"/>
                <w:color w:val="auto"/>
              </w:rPr>
            </w:pPr>
          </w:p>
        </w:tc>
        <w:tc>
          <w:tcPr>
            <w:tcW w:w="30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13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4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0" w:type="dxa"/>
            <w:vAlign w:val="bottom"/>
            <w:gridSpan w:val="3"/>
          </w:tcPr>
          <w:p>
            <w:pPr>
              <w:jc w:val="right"/>
              <w:ind w:right="240"/>
              <w:spacing w:after="0" w:line="168"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320" w:type="dxa"/>
            <w:vAlign w:val="bottom"/>
          </w:tcPr>
          <w:p>
            <w:pPr>
              <w:ind w:left="60"/>
              <w:spacing w:after="0" w:line="168" w:lineRule="exact"/>
              <w:rPr>
                <w:sz w:val="20"/>
                <w:szCs w:val="20"/>
                <w:color w:val="auto"/>
              </w:rPr>
            </w:pPr>
            <w:r>
              <w:rPr>
                <w:rFonts w:ascii="Arial" w:cs="Arial" w:eastAsia="Arial" w:hAnsi="Arial"/>
                <w:sz w:val="18"/>
                <w:szCs w:val="18"/>
                <w:color w:val="auto"/>
              </w:rPr>
              <w:t># Form of 2011</w:t>
            </w:r>
          </w:p>
        </w:tc>
        <w:tc>
          <w:tcPr>
            <w:tcW w:w="3060" w:type="dxa"/>
            <w:vAlign w:val="bottom"/>
          </w:tcPr>
          <w:p>
            <w:pPr>
              <w:ind w:left="20"/>
              <w:spacing w:after="0" w:line="168" w:lineRule="exact"/>
              <w:rPr>
                <w:sz w:val="20"/>
                <w:szCs w:val="20"/>
                <w:color w:val="auto"/>
              </w:rPr>
            </w:pPr>
            <w:r>
              <w:rPr>
                <w:rFonts w:ascii="Arial" w:cs="Arial" w:eastAsia="Arial" w:hAnsi="Arial"/>
                <w:sz w:val="18"/>
                <w:szCs w:val="18"/>
                <w:color w:val="auto"/>
              </w:rPr>
              <w:t>Omnibus Incentive Plan Performance</w:t>
            </w:r>
          </w:p>
        </w:tc>
        <w:tc>
          <w:tcPr>
            <w:tcW w:w="4700" w:type="dxa"/>
            <w:vAlign w:val="bottom"/>
          </w:tcPr>
          <w:p>
            <w:pPr>
              <w:ind w:left="80"/>
              <w:spacing w:after="0" w:line="168" w:lineRule="exact"/>
              <w:rPr>
                <w:sz w:val="20"/>
                <w:szCs w:val="20"/>
                <w:color w:val="auto"/>
              </w:rPr>
            </w:pPr>
            <w:r>
              <w:rPr>
                <w:rFonts w:ascii="Arial" w:cs="Arial" w:eastAsia="Arial" w:hAnsi="Arial"/>
                <w:sz w:val="18"/>
                <w:szCs w:val="18"/>
                <w:color w:val="auto"/>
              </w:rPr>
              <w:t>Incorporated by reference to Exhibit 10.4 of Xylem Inc.’s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38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Share Unit Agreement (2021).</w:t>
            </w:r>
          </w:p>
        </w:tc>
        <w:tc>
          <w:tcPr>
            <w:tcW w:w="470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14"/>
        </w:trPr>
        <w:tc>
          <w:tcPr>
            <w:tcW w:w="720" w:type="dxa"/>
            <w:vAlign w:val="bottom"/>
            <w:gridSpan w:val="3"/>
          </w:tcPr>
          <w:p>
            <w:pPr>
              <w:jc w:val="right"/>
              <w:ind w:right="240"/>
              <w:spacing w:after="0" w:line="194"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320" w:type="dxa"/>
            <w:vAlign w:val="bottom"/>
          </w:tcPr>
          <w:p>
            <w:pPr>
              <w:ind w:left="60"/>
              <w:spacing w:after="0" w:line="194" w:lineRule="exact"/>
              <w:rPr>
                <w:sz w:val="20"/>
                <w:szCs w:val="20"/>
                <w:color w:val="auto"/>
              </w:rPr>
            </w:pPr>
            <w:r>
              <w:rPr>
                <w:rFonts w:ascii="Arial" w:cs="Arial" w:eastAsia="Arial" w:hAnsi="Arial"/>
                <w:sz w:val="18"/>
                <w:szCs w:val="18"/>
                <w:color w:val="auto"/>
              </w:rPr>
              <w:t># Form of 2011</w:t>
            </w:r>
          </w:p>
        </w:tc>
        <w:tc>
          <w:tcPr>
            <w:tcW w:w="3060" w:type="dxa"/>
            <w:vAlign w:val="bottom"/>
          </w:tcPr>
          <w:p>
            <w:pPr>
              <w:ind w:left="20"/>
              <w:spacing w:after="0" w:line="194" w:lineRule="exact"/>
              <w:rPr>
                <w:sz w:val="20"/>
                <w:szCs w:val="20"/>
                <w:color w:val="auto"/>
              </w:rPr>
            </w:pPr>
            <w:r>
              <w:rPr>
                <w:rFonts w:ascii="Arial" w:cs="Arial" w:eastAsia="Arial" w:hAnsi="Arial"/>
                <w:sz w:val="18"/>
                <w:szCs w:val="18"/>
                <w:color w:val="auto"/>
              </w:rPr>
              <w:t>Omnibus Incentive Plan Restricted</w:t>
            </w:r>
          </w:p>
        </w:tc>
        <w:tc>
          <w:tcPr>
            <w:tcW w:w="4700" w:type="dxa"/>
            <w:vAlign w:val="bottom"/>
          </w:tcPr>
          <w:p>
            <w:pPr>
              <w:ind w:left="80"/>
              <w:spacing w:after="0" w:line="194" w:lineRule="exact"/>
              <w:rPr>
                <w:sz w:val="20"/>
                <w:szCs w:val="20"/>
                <w:color w:val="auto"/>
              </w:rPr>
            </w:pPr>
            <w:r>
              <w:rPr>
                <w:rFonts w:ascii="Arial" w:cs="Arial" w:eastAsia="Arial" w:hAnsi="Arial"/>
                <w:sz w:val="18"/>
                <w:szCs w:val="18"/>
                <w:color w:val="auto"/>
              </w:rPr>
              <w:t>Incorporated by reference to Exhibit 10.5 of Xylem Inc.’s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38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Stock Unit Agreement (2021).</w:t>
            </w:r>
          </w:p>
        </w:tc>
        <w:tc>
          <w:tcPr>
            <w:tcW w:w="470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r>
        <w:trPr>
          <w:trHeight w:val="214"/>
        </w:trPr>
        <w:tc>
          <w:tcPr>
            <w:tcW w:w="720" w:type="dxa"/>
            <w:vAlign w:val="bottom"/>
            <w:gridSpan w:val="3"/>
          </w:tcPr>
          <w:p>
            <w:pPr>
              <w:jc w:val="right"/>
              <w:ind w:right="240"/>
              <w:spacing w:after="0" w:line="194"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320" w:type="dxa"/>
            <w:vAlign w:val="bottom"/>
          </w:tcPr>
          <w:p>
            <w:pPr>
              <w:ind w:left="60"/>
              <w:spacing w:after="0" w:line="194" w:lineRule="exact"/>
              <w:rPr>
                <w:sz w:val="20"/>
                <w:szCs w:val="20"/>
                <w:color w:val="auto"/>
              </w:rPr>
            </w:pPr>
            <w:r>
              <w:rPr>
                <w:rFonts w:ascii="Arial" w:cs="Arial" w:eastAsia="Arial" w:hAnsi="Arial"/>
                <w:sz w:val="18"/>
                <w:szCs w:val="18"/>
                <w:color w:val="auto"/>
              </w:rPr>
              <w:t># Form of 2011</w:t>
            </w:r>
          </w:p>
        </w:tc>
        <w:tc>
          <w:tcPr>
            <w:tcW w:w="3060" w:type="dxa"/>
            <w:vAlign w:val="bottom"/>
          </w:tcPr>
          <w:p>
            <w:pPr>
              <w:ind w:left="20"/>
              <w:spacing w:after="0" w:line="194" w:lineRule="exact"/>
              <w:rPr>
                <w:sz w:val="20"/>
                <w:szCs w:val="20"/>
                <w:color w:val="auto"/>
              </w:rPr>
            </w:pPr>
            <w:r>
              <w:rPr>
                <w:rFonts w:ascii="Arial" w:cs="Arial" w:eastAsia="Arial" w:hAnsi="Arial"/>
                <w:sz w:val="18"/>
                <w:szCs w:val="18"/>
                <w:color w:val="auto"/>
              </w:rPr>
              <w:t>Omnibus Incentive Plan ESG</w:t>
            </w:r>
          </w:p>
        </w:tc>
        <w:tc>
          <w:tcPr>
            <w:tcW w:w="4700" w:type="dxa"/>
            <w:vAlign w:val="bottom"/>
          </w:tcPr>
          <w:p>
            <w:pPr>
              <w:ind w:left="80"/>
              <w:spacing w:after="0" w:line="194" w:lineRule="exact"/>
              <w:rPr>
                <w:sz w:val="20"/>
                <w:szCs w:val="20"/>
                <w:color w:val="auto"/>
              </w:rPr>
            </w:pPr>
            <w:r>
              <w:rPr>
                <w:rFonts w:ascii="Arial" w:cs="Arial" w:eastAsia="Arial" w:hAnsi="Arial"/>
                <w:sz w:val="18"/>
                <w:szCs w:val="18"/>
                <w:color w:val="auto"/>
              </w:rPr>
              <w:t>Incorporated by reference to Exhibit 10.6 of Xylem Inc.’s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38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Performance Share Unit Agreement (2021).</w:t>
            </w:r>
          </w:p>
        </w:tc>
        <w:tc>
          <w:tcPr>
            <w:tcW w:w="470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c>
          <w:tcPr>
            <w:tcW w:w="0" w:type="dxa"/>
            <w:vAlign w:val="bottom"/>
          </w:tcPr>
          <w:p>
            <w:pPr>
              <w:spacing w:after="0"/>
              <w:rPr>
                <w:sz w:val="1"/>
                <w:szCs w:val="1"/>
                <w:color w:val="auto"/>
              </w:rPr>
            </w:pPr>
          </w:p>
        </w:tc>
      </w:tr>
    </w:tbl>
    <w:p>
      <w:pPr>
        <w:spacing w:after="0" w:line="38" w:lineRule="exact"/>
        <w:rPr>
          <w:sz w:val="20"/>
          <w:szCs w:val="20"/>
          <w:color w:val="auto"/>
        </w:rPr>
      </w:pPr>
    </w:p>
    <w:p>
      <w:pPr>
        <w:sectPr>
          <w:pgSz w:w="11900" w:h="16838" w:orient="portrait"/>
          <w:cols w:equalWidth="0" w:num="1">
            <w:col w:w="10139"/>
          </w:cols>
          <w:pgMar w:left="320" w:top="1174" w:right="1440" w:bottom="1440" w:gutter="0" w:footer="0" w:header="0"/>
        </w:sectPr>
      </w:pPr>
    </w:p>
    <w:p>
      <w:pPr>
        <w:ind w:left="780" w:hanging="926"/>
        <w:spacing w:after="0" w:line="212" w:lineRule="auto"/>
        <w:tabs>
          <w:tab w:leader="none" w:pos="760" w:val="left"/>
        </w:tabs>
        <w:rPr>
          <w:rFonts w:ascii="Arial" w:cs="Arial" w:eastAsia="Arial" w:hAnsi="Arial"/>
          <w:sz w:val="18"/>
          <w:szCs w:val="18"/>
          <w:color w:val="0000FF"/>
        </w:rPr>
      </w:pPr>
      <w:hyperlink r:id="rId161">
        <w:r>
          <w:rPr>
            <w:rFonts w:ascii="Arial" w:cs="Arial" w:eastAsia="Arial" w:hAnsi="Arial"/>
            <w:sz w:val="18"/>
            <w:szCs w:val="18"/>
            <w:u w:val="single" w:color="auto"/>
            <w:color w:val="0000FF"/>
          </w:rPr>
          <w:t>10.18</w:t>
        </w:r>
      </w:hyperlink>
      <w:r>
        <w:rPr>
          <w:rFonts w:ascii="Arial" w:cs="Arial" w:eastAsia="Arial" w:hAnsi="Arial"/>
          <w:sz w:val="18"/>
          <w:szCs w:val="18"/>
          <w:color w:val="0000FF"/>
        </w:rPr>
        <w:tab/>
        <w:t># Form of Xylem 2011 Omnibus Incentive Plan Non-Qualified Stock Option Award Agreement for Certain Executives and Executive Officers as Approved by the Leadership Development &amp; Compensation Committee</w:t>
      </w:r>
    </w:p>
    <w:p>
      <w:pPr>
        <w:spacing w:after="0" w:line="67" w:lineRule="exact"/>
        <w:rPr>
          <w:sz w:val="20"/>
          <w:szCs w:val="20"/>
          <w:color w:val="auto"/>
        </w:rPr>
      </w:pPr>
    </w:p>
    <w:p>
      <w:pPr>
        <w:ind w:left="760" w:right="600" w:hanging="926"/>
        <w:spacing w:after="0" w:line="226" w:lineRule="auto"/>
        <w:tabs>
          <w:tab w:leader="none" w:pos="740" w:val="left"/>
        </w:tabs>
        <w:rPr>
          <w:rFonts w:ascii="Arial" w:cs="Arial" w:eastAsia="Arial" w:hAnsi="Arial"/>
          <w:sz w:val="18"/>
          <w:szCs w:val="18"/>
          <w:color w:val="0000FF"/>
        </w:rPr>
      </w:pPr>
      <w:hyperlink r:id="rId162">
        <w:r>
          <w:rPr>
            <w:rFonts w:ascii="Arial" w:cs="Arial" w:eastAsia="Arial" w:hAnsi="Arial"/>
            <w:sz w:val="18"/>
            <w:szCs w:val="18"/>
            <w:u w:val="single" w:color="auto"/>
            <w:color w:val="0000FF"/>
          </w:rPr>
          <w:t>10.19</w:t>
        </w:r>
      </w:hyperlink>
      <w:r>
        <w:rPr>
          <w:rFonts w:ascii="Arial" w:cs="Arial" w:eastAsia="Arial" w:hAnsi="Arial"/>
          <w:sz w:val="18"/>
          <w:szCs w:val="18"/>
          <w:color w:val="0000FF"/>
        </w:rPr>
        <w:tab/>
        <w:t># Xylem Deferred Compensation Plan for Non-Employee Directors.</w:t>
      </w:r>
    </w:p>
    <w:p>
      <w:pPr>
        <w:spacing w:after="0" w:line="20" w:lineRule="exact"/>
        <w:rPr>
          <w:sz w:val="20"/>
          <w:szCs w:val="20"/>
          <w:color w:val="auto"/>
        </w:rPr>
      </w:pPr>
      <w:r>
        <w:rPr>
          <w:sz w:val="20"/>
          <w:szCs w:val="20"/>
          <w:color w:val="auto"/>
        </w:rPr>
        <w:br w:type="column"/>
      </w:r>
    </w:p>
    <w:p>
      <w:pPr>
        <w:jc w:val="both"/>
        <w:ind w:right="419"/>
        <w:spacing w:after="0" w:line="218" w:lineRule="auto"/>
        <w:rPr>
          <w:sz w:val="20"/>
          <w:szCs w:val="20"/>
          <w:color w:val="auto"/>
        </w:rPr>
      </w:pPr>
      <w:r>
        <w:rPr>
          <w:rFonts w:ascii="Arial" w:cs="Arial" w:eastAsia="Arial" w:hAnsi="Arial"/>
          <w:sz w:val="18"/>
          <w:szCs w:val="18"/>
          <w:color w:val="auto"/>
        </w:rPr>
        <w:t>Incorporated by reference to Exhibit 10.1 of Xylem Inc.’s Form 10-Q Quarterly Report filed on August 3, 2021 (CIK No. 1524472, File No. 1-35229).</w:t>
      </w:r>
    </w:p>
    <w:p>
      <w:pPr>
        <w:spacing w:after="0" w:line="200" w:lineRule="exact"/>
        <w:rPr>
          <w:sz w:val="20"/>
          <w:szCs w:val="20"/>
          <w:color w:val="auto"/>
        </w:rPr>
      </w:pPr>
    </w:p>
    <w:p>
      <w:pPr>
        <w:spacing w:after="0" w:line="217" w:lineRule="exact"/>
        <w:rPr>
          <w:sz w:val="20"/>
          <w:szCs w:val="20"/>
          <w:color w:val="auto"/>
        </w:rPr>
      </w:pPr>
    </w:p>
    <w:p>
      <w:pPr>
        <w:jc w:val="both"/>
        <w:ind w:right="399"/>
        <w:spacing w:after="0" w:line="218" w:lineRule="auto"/>
        <w:rPr>
          <w:sz w:val="20"/>
          <w:szCs w:val="20"/>
          <w:color w:val="auto"/>
        </w:rPr>
      </w:pPr>
      <w:r>
        <w:rPr>
          <w:rFonts w:ascii="Arial" w:cs="Arial" w:eastAsia="Arial" w:hAnsi="Arial"/>
          <w:sz w:val="18"/>
          <w:szCs w:val="18"/>
          <w:color w:val="auto"/>
        </w:rPr>
        <w:t>Incorporated by reference to Exhibit 10.13 of Xylem Inc.’s Form 10-Q Quarterly Report filed on November 21, 2011 (CIK No. 1524472, File No. 1-35229).</w:t>
      </w:r>
    </w:p>
    <w:p>
      <w:pPr>
        <w:spacing w:after="0" w:line="35" w:lineRule="exact"/>
        <w:rPr>
          <w:sz w:val="20"/>
          <w:szCs w:val="20"/>
          <w:color w:val="auto"/>
        </w:rPr>
      </w:pPr>
    </w:p>
    <w:p>
      <w:pPr>
        <w:sectPr>
          <w:pgSz w:w="11900" w:h="16838" w:orient="portrait"/>
          <w:cols w:equalWidth="0" w:num="2">
            <w:col w:w="5100" w:space="80"/>
            <w:col w:w="4959"/>
          </w:cols>
          <w:pgMar w:left="320" w:top="1174"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980" w:type="dxa"/>
            <w:vAlign w:val="bottom"/>
            <w:gridSpan w:val="2"/>
          </w:tcPr>
          <w:p>
            <w:pPr>
              <w:spacing w:after="0"/>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Form of Non-Employee Director Restricted Stock</w:t>
            </w:r>
          </w:p>
        </w:tc>
        <w:tc>
          <w:tcPr>
            <w:tcW w:w="4640" w:type="dxa"/>
            <w:vAlign w:val="bottom"/>
          </w:tcPr>
          <w:p>
            <w:pPr>
              <w:ind w:left="180"/>
              <w:spacing w:after="0"/>
              <w:rPr>
                <w:sz w:val="20"/>
                <w:szCs w:val="20"/>
                <w:color w:val="auto"/>
              </w:rPr>
            </w:pPr>
            <w:r>
              <w:rPr>
                <w:rFonts w:ascii="Arial" w:cs="Arial" w:eastAsia="Arial" w:hAnsi="Arial"/>
                <w:sz w:val="18"/>
                <w:szCs w:val="18"/>
                <w:color w:val="auto"/>
                <w:w w:val="99"/>
              </w:rPr>
              <w:t>Incorporated by reference to Exhibit 10.1 of Xylem Inc.’s</w:t>
            </w:r>
          </w:p>
        </w:tc>
      </w:tr>
      <w:tr>
        <w:trPr>
          <w:trHeight w:val="155"/>
        </w:trPr>
        <w:tc>
          <w:tcPr>
            <w:tcW w:w="460" w:type="dxa"/>
            <w:vAlign w:val="bottom"/>
            <w:tcBorders>
              <w:top w:val="single" w:sz="8" w:color="0000FF"/>
            </w:tcBorders>
          </w:tcPr>
          <w:p>
            <w:pPr>
              <w:spacing w:after="0"/>
              <w:rPr>
                <w:sz w:val="13"/>
                <w:szCs w:val="13"/>
                <w:color w:val="auto"/>
              </w:rPr>
            </w:pPr>
          </w:p>
        </w:tc>
        <w:tc>
          <w:tcPr>
            <w:tcW w:w="4520" w:type="dxa"/>
            <w:vAlign w:val="bottom"/>
          </w:tcPr>
          <w:p>
            <w:pPr>
              <w:ind w:left="480"/>
              <w:spacing w:after="0" w:line="154" w:lineRule="exact"/>
              <w:rPr>
                <w:sz w:val="20"/>
                <w:szCs w:val="20"/>
                <w:color w:val="auto"/>
              </w:rPr>
            </w:pPr>
            <w:r>
              <w:rPr>
                <w:rFonts w:ascii="Arial" w:cs="Arial" w:eastAsia="Arial" w:hAnsi="Arial"/>
                <w:sz w:val="17"/>
                <w:szCs w:val="17"/>
                <w:color w:val="auto"/>
              </w:rPr>
              <w:t>Unit Award Agreement.</w:t>
            </w:r>
          </w:p>
        </w:tc>
        <w:tc>
          <w:tcPr>
            <w:tcW w:w="4640" w:type="dxa"/>
            <w:vAlign w:val="bottom"/>
          </w:tcPr>
          <w:p>
            <w:pPr>
              <w:ind w:left="180"/>
              <w:spacing w:after="0" w:line="154" w:lineRule="exact"/>
              <w:rPr>
                <w:sz w:val="20"/>
                <w:szCs w:val="20"/>
                <w:color w:val="auto"/>
              </w:rPr>
            </w:pPr>
            <w:r>
              <w:rPr>
                <w:rFonts w:ascii="Arial" w:cs="Arial" w:eastAsia="Arial" w:hAnsi="Arial"/>
                <w:sz w:val="17"/>
                <w:szCs w:val="17"/>
                <w:color w:val="auto"/>
              </w:rPr>
              <w:t>Form 10-Q Quarterly Report filed on July 30, 2015 (CIK</w:t>
            </w:r>
          </w:p>
        </w:tc>
      </w:tr>
      <w:tr>
        <w:trPr>
          <w:trHeight w:val="216"/>
        </w:trPr>
        <w:tc>
          <w:tcPr>
            <w:tcW w:w="4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No. 1524472, File No. 1-35229).</w:t>
            </w:r>
          </w:p>
        </w:tc>
      </w:tr>
    </w:tbl>
    <w:p>
      <w:pPr>
        <w:spacing w:after="0" w:line="66" w:lineRule="exact"/>
        <w:rPr>
          <w:sz w:val="20"/>
          <w:szCs w:val="20"/>
          <w:color w:val="auto"/>
        </w:rPr>
      </w:pPr>
    </w:p>
    <w:p>
      <w:pPr>
        <w:sectPr>
          <w:pgSz w:w="11900" w:h="16838" w:orient="portrait"/>
          <w:cols w:equalWidth="0" w:num="1">
            <w:col w:w="10139"/>
          </w:cols>
          <w:pgMar w:left="320" w:top="1174" w:right="1440" w:bottom="1440" w:gutter="0" w:footer="0" w:header="0"/>
          <w:type w:val="continuous"/>
        </w:sectPr>
      </w:pPr>
    </w:p>
    <w:p>
      <w:pPr>
        <w:jc w:val="both"/>
        <w:ind w:left="760" w:right="560" w:hanging="926"/>
        <w:spacing w:after="0" w:line="218" w:lineRule="auto"/>
        <w:tabs>
          <w:tab w:leader="none" w:pos="740" w:val="left"/>
        </w:tabs>
        <w:rPr>
          <w:rFonts w:ascii="Arial" w:cs="Arial" w:eastAsia="Arial" w:hAnsi="Arial"/>
          <w:sz w:val="18"/>
          <w:szCs w:val="18"/>
          <w:color w:val="0000FF"/>
        </w:rPr>
      </w:pPr>
      <w:hyperlink r:id="rId164">
        <w:r>
          <w:rPr>
            <w:rFonts w:ascii="Arial" w:cs="Arial" w:eastAsia="Arial" w:hAnsi="Arial"/>
            <w:sz w:val="18"/>
            <w:szCs w:val="18"/>
            <w:u w:val="single" w:color="auto"/>
            <w:color w:val="0000FF"/>
          </w:rPr>
          <w:t>10.21</w:t>
        </w:r>
      </w:hyperlink>
      <w:r>
        <w:rPr>
          <w:rFonts w:ascii="Arial" w:cs="Arial" w:eastAsia="Arial" w:hAnsi="Arial"/>
          <w:sz w:val="18"/>
          <w:szCs w:val="18"/>
          <w:color w:val="0000FF"/>
        </w:rPr>
        <w:tab/>
        <w:t># Form of Director’s Indemnification Agreement restated, with administrative changes only, on November 12, 2020.</w:t>
      </w:r>
    </w:p>
    <w:p>
      <w:pPr>
        <w:spacing w:after="0" w:line="35" w:lineRule="exact"/>
        <w:rPr>
          <w:sz w:val="20"/>
          <w:szCs w:val="20"/>
          <w:color w:val="auto"/>
        </w:rPr>
      </w:pPr>
    </w:p>
    <w:p>
      <w:pPr>
        <w:ind w:left="20"/>
        <w:spacing w:after="0"/>
        <w:tabs>
          <w:tab w:leader="none" w:pos="740" w:val="left"/>
        </w:tabs>
        <w:rPr>
          <w:rFonts w:ascii="Arial" w:cs="Arial" w:eastAsia="Arial" w:hAnsi="Arial"/>
          <w:sz w:val="18"/>
          <w:szCs w:val="18"/>
          <w:color w:val="0000FF"/>
        </w:rPr>
      </w:pPr>
      <w:hyperlink r:id="rId165">
        <w:r>
          <w:rPr>
            <w:rFonts w:ascii="Arial" w:cs="Arial" w:eastAsia="Arial" w:hAnsi="Arial"/>
            <w:sz w:val="18"/>
            <w:szCs w:val="18"/>
            <w:u w:val="single" w:color="auto"/>
            <w:color w:val="0000FF"/>
          </w:rPr>
          <w:t>10.22</w:t>
        </w:r>
      </w:hyperlink>
      <w:r>
        <w:rPr>
          <w:rFonts w:ascii="Arial" w:cs="Arial" w:eastAsia="Arial" w:hAnsi="Arial"/>
          <w:sz w:val="18"/>
          <w:szCs w:val="18"/>
          <w:color w:val="0000FF"/>
        </w:rPr>
        <w:tab/>
        <w:t># Letter Agreement between Xylem Inc. and Patrick K.</w:t>
      </w:r>
    </w:p>
    <w:p>
      <w:pPr>
        <w:ind w:left="960"/>
        <w:spacing w:after="0"/>
        <w:rPr>
          <w:sz w:val="20"/>
          <w:szCs w:val="20"/>
          <w:color w:val="auto"/>
        </w:rPr>
      </w:pPr>
      <w:r>
        <w:rPr>
          <w:rFonts w:ascii="Arial" w:cs="Arial" w:eastAsia="Arial" w:hAnsi="Arial"/>
          <w:sz w:val="18"/>
          <w:szCs w:val="18"/>
          <w:color w:val="auto"/>
        </w:rPr>
        <w:t>Decker.</w:t>
      </w:r>
    </w:p>
    <w:p>
      <w:pPr>
        <w:spacing w:after="0" w:line="250" w:lineRule="exact"/>
        <w:rPr>
          <w:sz w:val="20"/>
          <w:szCs w:val="20"/>
          <w:color w:val="auto"/>
        </w:rPr>
      </w:pPr>
    </w:p>
    <w:p>
      <w:pPr>
        <w:ind w:left="760" w:right="160" w:hanging="926"/>
        <w:spacing w:after="0" w:line="226" w:lineRule="auto"/>
        <w:tabs>
          <w:tab w:leader="none" w:pos="740" w:val="left"/>
        </w:tabs>
        <w:rPr>
          <w:rFonts w:ascii="Arial" w:cs="Arial" w:eastAsia="Arial" w:hAnsi="Arial"/>
          <w:sz w:val="18"/>
          <w:szCs w:val="18"/>
          <w:color w:val="0000FF"/>
        </w:rPr>
      </w:pPr>
      <w:hyperlink r:id="rId166">
        <w:r>
          <w:rPr>
            <w:rFonts w:ascii="Arial" w:cs="Arial" w:eastAsia="Arial" w:hAnsi="Arial"/>
            <w:sz w:val="18"/>
            <w:szCs w:val="18"/>
            <w:u w:val="single" w:color="auto"/>
            <w:color w:val="0000FF"/>
          </w:rPr>
          <w:t>10.23</w:t>
        </w:r>
      </w:hyperlink>
      <w:r>
        <w:rPr>
          <w:rFonts w:ascii="Arial" w:cs="Arial" w:eastAsia="Arial" w:hAnsi="Arial"/>
          <w:sz w:val="18"/>
          <w:szCs w:val="18"/>
          <w:color w:val="0000FF"/>
        </w:rPr>
        <w:tab/>
        <w:t># Letter Agreement between Xylem Inc. and Claudia S. Toussaint.</w:t>
      </w:r>
    </w:p>
    <w:p>
      <w:pPr>
        <w:spacing w:after="0" w:line="20" w:lineRule="exact"/>
        <w:rPr>
          <w:sz w:val="20"/>
          <w:szCs w:val="20"/>
          <w:color w:val="auto"/>
        </w:rPr>
      </w:pPr>
      <w:r>
        <w:rPr>
          <w:sz w:val="20"/>
          <w:szCs w:val="20"/>
          <w:color w:val="auto"/>
        </w:rPr>
        <w:br w:type="column"/>
      </w:r>
    </w:p>
    <w:p>
      <w:pPr>
        <w:jc w:val="both"/>
        <w:ind w:right="359"/>
        <w:spacing w:after="0" w:line="218" w:lineRule="auto"/>
        <w:rPr>
          <w:sz w:val="20"/>
          <w:szCs w:val="20"/>
          <w:color w:val="auto"/>
        </w:rPr>
      </w:pPr>
      <w:r>
        <w:rPr>
          <w:rFonts w:ascii="Arial" w:cs="Arial" w:eastAsia="Arial" w:hAnsi="Arial"/>
          <w:sz w:val="18"/>
          <w:szCs w:val="18"/>
          <w:color w:val="auto"/>
        </w:rPr>
        <w:t>Incorporated by reference to Exhibit 10.20 of Xylem Inc.’s Form 10-K Annual Report filed on February 26, 2021 (CIK No. 1524472, File No. 1-35229).</w:t>
      </w:r>
    </w:p>
    <w:p>
      <w:pPr>
        <w:spacing w:after="0" w:line="67" w:lineRule="exact"/>
        <w:rPr>
          <w:sz w:val="20"/>
          <w:szCs w:val="20"/>
          <w:color w:val="auto"/>
        </w:rPr>
      </w:pPr>
    </w:p>
    <w:p>
      <w:pPr>
        <w:jc w:val="both"/>
        <w:ind w:right="519"/>
        <w:spacing w:after="0" w:line="218" w:lineRule="auto"/>
        <w:rPr>
          <w:sz w:val="20"/>
          <w:szCs w:val="20"/>
          <w:color w:val="auto"/>
        </w:rPr>
      </w:pPr>
      <w:r>
        <w:rPr>
          <w:rFonts w:ascii="Arial" w:cs="Arial" w:eastAsia="Arial" w:hAnsi="Arial"/>
          <w:sz w:val="18"/>
          <w:szCs w:val="18"/>
          <w:color w:val="auto"/>
        </w:rPr>
        <w:t>Incorporated by reference to Exhibit 10.1 of Xylem Inc.'s Form 10-Q Quarterly Report filed on April 29, 2014 (CIK No. 1524472, File No. 1-35229).</w:t>
      </w:r>
    </w:p>
    <w:p>
      <w:pPr>
        <w:spacing w:after="0" w:line="67" w:lineRule="exact"/>
        <w:rPr>
          <w:sz w:val="20"/>
          <w:szCs w:val="20"/>
          <w:color w:val="auto"/>
        </w:rPr>
      </w:pPr>
    </w:p>
    <w:p>
      <w:pPr>
        <w:jc w:val="both"/>
        <w:ind w:right="359"/>
        <w:spacing w:after="0" w:line="218" w:lineRule="auto"/>
        <w:rPr>
          <w:sz w:val="20"/>
          <w:szCs w:val="20"/>
          <w:color w:val="auto"/>
        </w:rPr>
      </w:pPr>
      <w:r>
        <w:rPr>
          <w:rFonts w:ascii="Arial" w:cs="Arial" w:eastAsia="Arial" w:hAnsi="Arial"/>
          <w:sz w:val="18"/>
          <w:szCs w:val="18"/>
          <w:color w:val="auto"/>
        </w:rPr>
        <w:t>Incorporated by reference to Exhibit 10.23 of Xylem Inc.’s Form 10-K Annual Report filed on February 26, 2021 (CIK No. 1524472, File No. 1-35229).</w:t>
      </w:r>
    </w:p>
    <w:p>
      <w:pPr>
        <w:spacing w:after="0" w:line="35" w:lineRule="exact"/>
        <w:rPr>
          <w:sz w:val="20"/>
          <w:szCs w:val="20"/>
          <w:color w:val="auto"/>
        </w:rPr>
      </w:pPr>
    </w:p>
    <w:p>
      <w:pPr>
        <w:sectPr>
          <w:pgSz w:w="11900" w:h="16838" w:orient="portrait"/>
          <w:cols w:equalWidth="0" w:num="2">
            <w:col w:w="5120" w:space="60"/>
            <w:col w:w="4959"/>
          </w:cols>
          <w:pgMar w:left="320" w:top="1174"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600" w:type="dxa"/>
            <w:vAlign w:val="bottom"/>
            <w:gridSpan w:val="2"/>
          </w:tcPr>
          <w:p>
            <w:pPr>
              <w:jc w:val="right"/>
              <w:ind w:right="140"/>
              <w:spacing w:after="0"/>
              <w:rPr>
                <w:rFonts w:ascii="Arial" w:cs="Arial" w:eastAsia="Arial" w:hAnsi="Arial"/>
                <w:sz w:val="18"/>
                <w:szCs w:val="18"/>
                <w:color w:val="0000FF"/>
                <w:w w:val="97"/>
              </w:rPr>
            </w:pPr>
            <w:hyperlink r:id="rId16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24</w:t>
              </w:r>
            </w:hyperlink>
          </w:p>
        </w:tc>
        <w:tc>
          <w:tcPr>
            <w:tcW w:w="9160" w:type="dxa"/>
            <w:vAlign w:val="bottom"/>
            <w:gridSpan w:val="2"/>
          </w:tcPr>
          <w:p>
            <w:pPr>
              <w:ind w:left="140"/>
              <w:spacing w:after="0"/>
              <w:rPr>
                <w:sz w:val="20"/>
                <w:szCs w:val="20"/>
                <w:color w:val="auto"/>
              </w:rPr>
            </w:pPr>
            <w:r>
              <w:rPr>
                <w:rFonts w:ascii="Arial" w:cs="Arial" w:eastAsia="Arial" w:hAnsi="Arial"/>
                <w:sz w:val="18"/>
                <w:szCs w:val="18"/>
                <w:color w:val="auto"/>
              </w:rPr>
              <w:t># Letter Agreement between Xylem Inc. and Sandra E. Incorporated by reference to Exhibit 10.24 of Xylem Inc.’s</w:t>
            </w:r>
          </w:p>
        </w:tc>
      </w:tr>
      <w:tr>
        <w:trPr>
          <w:trHeight w:val="155"/>
        </w:trPr>
        <w:tc>
          <w:tcPr>
            <w:tcW w:w="4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4480" w:type="dxa"/>
            <w:vAlign w:val="bottom"/>
          </w:tcPr>
          <w:p>
            <w:pPr>
              <w:ind w:left="340"/>
              <w:spacing w:after="0" w:line="154" w:lineRule="exact"/>
              <w:rPr>
                <w:sz w:val="20"/>
                <w:szCs w:val="20"/>
                <w:color w:val="auto"/>
              </w:rPr>
            </w:pPr>
            <w:r>
              <w:rPr>
                <w:rFonts w:ascii="Arial" w:cs="Arial" w:eastAsia="Arial" w:hAnsi="Arial"/>
                <w:sz w:val="17"/>
                <w:szCs w:val="17"/>
                <w:color w:val="auto"/>
              </w:rPr>
              <w:t>Rowland.</w:t>
            </w:r>
          </w:p>
        </w:tc>
        <w:tc>
          <w:tcPr>
            <w:tcW w:w="4680" w:type="dxa"/>
            <w:vAlign w:val="bottom"/>
          </w:tcPr>
          <w:p>
            <w:pPr>
              <w:ind w:left="80"/>
              <w:spacing w:after="0" w:line="154" w:lineRule="exact"/>
              <w:rPr>
                <w:sz w:val="20"/>
                <w:szCs w:val="20"/>
                <w:color w:val="auto"/>
              </w:rPr>
            </w:pPr>
            <w:r>
              <w:rPr>
                <w:rFonts w:ascii="Arial" w:cs="Arial" w:eastAsia="Arial" w:hAnsi="Arial"/>
                <w:sz w:val="17"/>
                <w:szCs w:val="17"/>
                <w:color w:val="auto"/>
              </w:rPr>
              <w:t>Form 10-K Annual Report filed on February 26, 2021 (CIK</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42"/>
        </w:trPr>
        <w:tc>
          <w:tcPr>
            <w:tcW w:w="600" w:type="dxa"/>
            <w:vAlign w:val="bottom"/>
            <w:gridSpan w:val="2"/>
          </w:tcPr>
          <w:p>
            <w:pPr>
              <w:jc w:val="right"/>
              <w:ind w:right="140"/>
              <w:spacing w:after="0"/>
              <w:rPr>
                <w:rFonts w:ascii="Arial" w:cs="Arial" w:eastAsia="Arial" w:hAnsi="Arial"/>
                <w:sz w:val="18"/>
                <w:szCs w:val="18"/>
                <w:color w:val="0000FF"/>
                <w:w w:val="97"/>
              </w:rPr>
            </w:pPr>
            <w:hyperlink r:id="rId16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25</w:t>
              </w:r>
            </w:hyperlink>
          </w:p>
        </w:tc>
        <w:tc>
          <w:tcPr>
            <w:tcW w:w="4480" w:type="dxa"/>
            <w:vAlign w:val="bottom"/>
          </w:tcPr>
          <w:p>
            <w:pPr>
              <w:ind w:left="160"/>
              <w:spacing w:after="0"/>
              <w:rPr>
                <w:sz w:val="20"/>
                <w:szCs w:val="20"/>
                <w:color w:val="auto"/>
              </w:rPr>
            </w:pPr>
            <w:r>
              <w:rPr>
                <w:rFonts w:ascii="Arial" w:cs="Arial" w:eastAsia="Arial" w:hAnsi="Arial"/>
                <w:sz w:val="18"/>
                <w:szCs w:val="18"/>
                <w:color w:val="auto"/>
              </w:rPr>
              <w:t># Letter Agreement between Xylem Inc. and Matthew</w:t>
            </w:r>
          </w:p>
        </w:tc>
        <w:tc>
          <w:tcPr>
            <w:tcW w:w="4680" w:type="dxa"/>
            <w:vAlign w:val="bottom"/>
          </w:tcPr>
          <w:p>
            <w:pPr>
              <w:ind w:left="80"/>
              <w:spacing w:after="0"/>
              <w:rPr>
                <w:sz w:val="20"/>
                <w:szCs w:val="20"/>
                <w:color w:val="auto"/>
              </w:rPr>
            </w:pPr>
            <w:r>
              <w:rPr>
                <w:rFonts w:ascii="Arial" w:cs="Arial" w:eastAsia="Arial" w:hAnsi="Arial"/>
                <w:sz w:val="18"/>
                <w:szCs w:val="18"/>
                <w:color w:val="auto"/>
              </w:rPr>
              <w:t>Incorporated by reference to Exhibit 10.1 of Xylem Inc.’s</w:t>
            </w:r>
          </w:p>
        </w:tc>
      </w:tr>
      <w:tr>
        <w:trPr>
          <w:trHeight w:val="182"/>
        </w:trPr>
        <w:tc>
          <w:tcPr>
            <w:tcW w:w="4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80" w:type="dxa"/>
            <w:vAlign w:val="bottom"/>
          </w:tcPr>
          <w:p>
            <w:pPr>
              <w:ind w:left="340"/>
              <w:spacing w:after="0" w:line="182" w:lineRule="exact"/>
              <w:rPr>
                <w:sz w:val="20"/>
                <w:szCs w:val="20"/>
                <w:color w:val="auto"/>
              </w:rPr>
            </w:pPr>
            <w:r>
              <w:rPr>
                <w:rFonts w:ascii="Arial" w:cs="Arial" w:eastAsia="Arial" w:hAnsi="Arial"/>
                <w:sz w:val="18"/>
                <w:szCs w:val="18"/>
                <w:color w:val="auto"/>
              </w:rPr>
              <w:t>Pine.</w:t>
            </w:r>
          </w:p>
        </w:tc>
        <w:tc>
          <w:tcPr>
            <w:tcW w:w="468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r>
        <w:trPr>
          <w:trHeight w:val="214"/>
        </w:trPr>
        <w:tc>
          <w:tcPr>
            <w:tcW w:w="600" w:type="dxa"/>
            <w:vAlign w:val="bottom"/>
            <w:gridSpan w:val="2"/>
          </w:tcPr>
          <w:p>
            <w:pPr>
              <w:jc w:val="right"/>
              <w:ind w:right="140"/>
              <w:spacing w:after="0" w:line="194"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26</w:t>
              </w:r>
            </w:hyperlink>
          </w:p>
        </w:tc>
        <w:tc>
          <w:tcPr>
            <w:tcW w:w="4480" w:type="dxa"/>
            <w:vAlign w:val="bottom"/>
          </w:tcPr>
          <w:p>
            <w:pPr>
              <w:ind w:left="160"/>
              <w:spacing w:after="0" w:line="194" w:lineRule="exact"/>
              <w:rPr>
                <w:sz w:val="20"/>
                <w:szCs w:val="20"/>
                <w:color w:val="auto"/>
              </w:rPr>
            </w:pPr>
            <w:r>
              <w:rPr>
                <w:rFonts w:ascii="Arial" w:cs="Arial" w:eastAsia="Arial" w:hAnsi="Arial"/>
                <w:sz w:val="18"/>
                <w:szCs w:val="18"/>
                <w:color w:val="auto"/>
              </w:rPr>
              <w:t># Individual Employment Contract between Xylem</w:t>
            </w:r>
          </w:p>
        </w:tc>
        <w:tc>
          <w:tcPr>
            <w:tcW w:w="4680" w:type="dxa"/>
            <w:vAlign w:val="bottom"/>
          </w:tcPr>
          <w:p>
            <w:pPr>
              <w:ind w:left="80"/>
              <w:spacing w:after="0" w:line="194" w:lineRule="exact"/>
              <w:rPr>
                <w:sz w:val="20"/>
                <w:szCs w:val="20"/>
                <w:color w:val="auto"/>
              </w:rPr>
            </w:pPr>
            <w:r>
              <w:rPr>
                <w:rFonts w:ascii="Arial" w:cs="Arial" w:eastAsia="Arial" w:hAnsi="Arial"/>
                <w:sz w:val="18"/>
                <w:szCs w:val="18"/>
                <w:color w:val="auto"/>
              </w:rPr>
              <w:t>Incorporated by reference to Exhibit 10.2 of Xylem Inc.’s</w:t>
            </w:r>
          </w:p>
        </w:tc>
      </w:tr>
      <w:tr>
        <w:trPr>
          <w:trHeight w:val="182"/>
        </w:trPr>
        <w:tc>
          <w:tcPr>
            <w:tcW w:w="46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80" w:type="dxa"/>
            <w:vAlign w:val="bottom"/>
          </w:tcPr>
          <w:p>
            <w:pPr>
              <w:ind w:left="340"/>
              <w:spacing w:after="0" w:line="182" w:lineRule="exact"/>
              <w:rPr>
                <w:sz w:val="20"/>
                <w:szCs w:val="20"/>
                <w:color w:val="auto"/>
              </w:rPr>
            </w:pPr>
            <w:r>
              <w:rPr>
                <w:rFonts w:ascii="Arial" w:cs="Arial" w:eastAsia="Arial" w:hAnsi="Arial"/>
                <w:sz w:val="18"/>
                <w:szCs w:val="18"/>
                <w:color w:val="auto"/>
              </w:rPr>
              <w:t>Europe GmbH and Hayati Yarkadas.</w:t>
            </w:r>
          </w:p>
        </w:tc>
        <w:tc>
          <w:tcPr>
            <w:tcW w:w="4680" w:type="dxa"/>
            <w:vAlign w:val="bottom"/>
          </w:tcPr>
          <w:p>
            <w:pPr>
              <w:ind w:left="80"/>
              <w:spacing w:after="0" w:line="182" w:lineRule="exact"/>
              <w:rPr>
                <w:sz w:val="20"/>
                <w:szCs w:val="20"/>
                <w:color w:val="auto"/>
              </w:rPr>
            </w:pPr>
            <w:r>
              <w:rPr>
                <w:rFonts w:ascii="Arial" w:cs="Arial" w:eastAsia="Arial" w:hAnsi="Arial"/>
                <w:sz w:val="18"/>
                <w:szCs w:val="18"/>
                <w:color w:val="auto"/>
              </w:rPr>
              <w:t>Form 10-Q Quarterly Report filed on May 4, 2021 (CIK</w:t>
            </w:r>
          </w:p>
        </w:tc>
      </w:tr>
      <w:tr>
        <w:trPr>
          <w:trHeight w:val="216"/>
        </w:trPr>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No. 1524472, File No. 1-35229).</w:t>
            </w:r>
          </w:p>
        </w:tc>
      </w:tr>
    </w:tbl>
    <w:p>
      <w:pPr>
        <w:spacing w:after="0" w:line="38" w:lineRule="exact"/>
        <w:rPr>
          <w:sz w:val="20"/>
          <w:szCs w:val="20"/>
          <w:color w:val="auto"/>
        </w:rPr>
      </w:pPr>
    </w:p>
    <w:p>
      <w:pPr>
        <w:sectPr>
          <w:pgSz w:w="11900" w:h="16838" w:orient="portrait"/>
          <w:cols w:equalWidth="0" w:num="1">
            <w:col w:w="10139"/>
          </w:cols>
          <w:pgMar w:left="320" w:top="1174" w:right="1440" w:bottom="1440" w:gutter="0" w:footer="0" w:header="0"/>
          <w:type w:val="continuous"/>
        </w:sectPr>
      </w:pPr>
    </w:p>
    <w:p>
      <w:pPr>
        <w:ind w:left="960" w:right="260" w:hanging="926"/>
        <w:spacing w:after="0" w:line="218" w:lineRule="auto"/>
        <w:tabs>
          <w:tab w:leader="none" w:pos="940" w:val="left"/>
        </w:tabs>
        <w:rPr>
          <w:rFonts w:ascii="Arial" w:cs="Arial" w:eastAsia="Arial" w:hAnsi="Arial"/>
          <w:sz w:val="18"/>
          <w:szCs w:val="18"/>
          <w:color w:val="0000FF"/>
        </w:rPr>
      </w:pPr>
      <w:hyperlink r:id="rId170">
        <w:r>
          <w:rPr>
            <w:rFonts w:ascii="Arial" w:cs="Arial" w:eastAsia="Arial" w:hAnsi="Arial"/>
            <w:sz w:val="18"/>
            <w:szCs w:val="18"/>
            <w:u w:val="single" w:color="auto"/>
            <w:color w:val="0000FF"/>
          </w:rPr>
          <w:t>10.27</w:t>
        </w:r>
      </w:hyperlink>
      <w:r>
        <w:rPr>
          <w:rFonts w:ascii="Arial" w:cs="Arial" w:eastAsia="Arial" w:hAnsi="Arial"/>
          <w:sz w:val="18"/>
          <w:szCs w:val="18"/>
          <w:color w:val="0000FF"/>
        </w:rPr>
        <w:tab/>
        <w:t>Five-Year Revolving Credit Facility Agreement, dated as of March 5, 2019 among Xylem Inc. and the Lenders party thereto.</w:t>
      </w:r>
    </w:p>
    <w:p>
      <w:pPr>
        <w:spacing w:after="0" w:line="67" w:lineRule="exact"/>
        <w:rPr>
          <w:sz w:val="20"/>
          <w:szCs w:val="20"/>
          <w:color w:val="auto"/>
        </w:rPr>
      </w:pPr>
    </w:p>
    <w:p>
      <w:pPr>
        <w:ind w:left="960" w:hanging="926"/>
        <w:spacing w:after="0" w:line="214" w:lineRule="auto"/>
        <w:tabs>
          <w:tab w:leader="none" w:pos="940" w:val="left"/>
        </w:tabs>
        <w:rPr>
          <w:rFonts w:ascii="Arial" w:cs="Arial" w:eastAsia="Arial" w:hAnsi="Arial"/>
          <w:sz w:val="18"/>
          <w:szCs w:val="18"/>
          <w:color w:val="0000FF"/>
        </w:rPr>
      </w:pPr>
      <w:hyperlink r:id="rId171">
        <w:r>
          <w:rPr>
            <w:rFonts w:ascii="Arial" w:cs="Arial" w:eastAsia="Arial" w:hAnsi="Arial"/>
            <w:sz w:val="18"/>
            <w:szCs w:val="18"/>
            <w:u w:val="single" w:color="auto"/>
            <w:color w:val="0000FF"/>
          </w:rPr>
          <w:t>10.28</w:t>
        </w:r>
      </w:hyperlink>
      <w:r>
        <w:rPr>
          <w:rFonts w:ascii="Arial" w:cs="Arial" w:eastAsia="Arial" w:hAnsi="Arial"/>
          <w:sz w:val="18"/>
          <w:szCs w:val="18"/>
          <w:color w:val="0000FF"/>
        </w:rPr>
        <w:tab/>
        <w:t>Amendment No. 1, dated June 22, 2020, to the Five-Year Revolving Credit Facility Agreement, dated as of March 5, 2019, each among Xylem Inc. and Citibank, N.A., as administrative agent</w:t>
      </w:r>
    </w:p>
    <w:p>
      <w:pPr>
        <w:spacing w:after="0" w:line="68" w:lineRule="exact"/>
        <w:rPr>
          <w:sz w:val="20"/>
          <w:szCs w:val="20"/>
          <w:color w:val="auto"/>
        </w:rPr>
      </w:pPr>
    </w:p>
    <w:p>
      <w:pPr>
        <w:ind w:left="20"/>
        <w:spacing w:after="0"/>
        <w:tabs>
          <w:tab w:leader="none" w:pos="940" w:val="left"/>
        </w:tabs>
        <w:rPr>
          <w:rFonts w:ascii="Arial" w:cs="Arial" w:eastAsia="Arial" w:hAnsi="Arial"/>
          <w:sz w:val="18"/>
          <w:szCs w:val="18"/>
          <w:color w:val="0000FF"/>
        </w:rPr>
      </w:pPr>
      <w:hyperlink w:anchor="page119">
        <w:r>
          <w:rPr>
            <w:rFonts w:ascii="Arial" w:cs="Arial" w:eastAsia="Arial" w:hAnsi="Arial"/>
            <w:sz w:val="18"/>
            <w:szCs w:val="18"/>
            <w:u w:val="single" w:color="auto"/>
            <w:color w:val="0000FF"/>
          </w:rPr>
          <w:t>21.0</w:t>
        </w:r>
      </w:hyperlink>
      <w:r>
        <w:rPr>
          <w:rFonts w:ascii="Arial" w:cs="Arial" w:eastAsia="Arial" w:hAnsi="Arial"/>
          <w:sz w:val="18"/>
          <w:szCs w:val="18"/>
          <w:color w:val="0000FF"/>
        </w:rPr>
        <w:tab/>
      </w:r>
      <w:r>
        <w:rPr>
          <w:rFonts w:ascii="Arial" w:cs="Arial" w:eastAsia="Arial" w:hAnsi="Arial"/>
          <w:sz w:val="17"/>
          <w:szCs w:val="17"/>
          <w:color w:val="0000FF"/>
        </w:rPr>
        <w:t>Subsidiaries of the Registrant.</w:t>
      </w:r>
    </w:p>
    <w:p>
      <w:pPr>
        <w:spacing w:after="0" w:line="75" w:lineRule="exact"/>
        <w:rPr>
          <w:sz w:val="20"/>
          <w:szCs w:val="20"/>
          <w:color w:val="auto"/>
        </w:rPr>
      </w:pPr>
    </w:p>
    <w:p>
      <w:pPr>
        <w:ind w:left="960" w:right="800" w:hanging="926"/>
        <w:spacing w:after="0" w:line="226" w:lineRule="auto"/>
        <w:tabs>
          <w:tab w:leader="none" w:pos="940" w:val="left"/>
        </w:tabs>
        <w:rPr>
          <w:rFonts w:ascii="Arial" w:cs="Arial" w:eastAsia="Arial" w:hAnsi="Arial"/>
          <w:sz w:val="18"/>
          <w:szCs w:val="18"/>
          <w:color w:val="0000FF"/>
        </w:rPr>
      </w:pPr>
      <w:hyperlink w:anchor="page124">
        <w:r>
          <w:rPr>
            <w:rFonts w:ascii="Arial" w:cs="Arial" w:eastAsia="Arial" w:hAnsi="Arial"/>
            <w:sz w:val="18"/>
            <w:szCs w:val="18"/>
            <w:u w:val="single" w:color="auto"/>
            <w:color w:val="0000FF"/>
          </w:rPr>
          <w:t>23.1</w:t>
        </w:r>
      </w:hyperlink>
      <w:r>
        <w:rPr>
          <w:rFonts w:ascii="Arial" w:cs="Arial" w:eastAsia="Arial" w:hAnsi="Arial"/>
          <w:sz w:val="18"/>
          <w:szCs w:val="18"/>
          <w:color w:val="0000FF"/>
        </w:rPr>
        <w:tab/>
        <w:t>Consent of Independent Registered Public Accounting Firm.</w:t>
      </w:r>
    </w:p>
    <w:p>
      <w:pPr>
        <w:spacing w:after="0" w:line="20" w:lineRule="exact"/>
        <w:rPr>
          <w:sz w:val="20"/>
          <w:szCs w:val="20"/>
          <w:color w:val="auto"/>
        </w:rPr>
      </w:pPr>
      <w:r>
        <w:rPr>
          <w:sz w:val="20"/>
          <w:szCs w:val="20"/>
          <w:color w:val="auto"/>
        </w:rPr>
        <w:br w:type="column"/>
      </w:r>
    </w:p>
    <w:p>
      <w:pPr>
        <w:ind w:right="399"/>
        <w:spacing w:after="0" w:line="218" w:lineRule="auto"/>
        <w:rPr>
          <w:sz w:val="20"/>
          <w:szCs w:val="20"/>
          <w:color w:val="auto"/>
        </w:rPr>
      </w:pPr>
      <w:r>
        <w:rPr>
          <w:rFonts w:ascii="Arial" w:cs="Arial" w:eastAsia="Arial" w:hAnsi="Arial"/>
          <w:sz w:val="18"/>
          <w:szCs w:val="18"/>
          <w:color w:val="auto"/>
        </w:rPr>
        <w:t>Incorporated by reference to Exhibit 10.34 of Xylem Inc.’s Form 8-K filed on March 5, 2019 (CIK No. 1524472, File No. 1-35229).</w:t>
      </w:r>
    </w:p>
    <w:p>
      <w:pPr>
        <w:spacing w:after="0" w:line="67" w:lineRule="exact"/>
        <w:rPr>
          <w:sz w:val="20"/>
          <w:szCs w:val="20"/>
          <w:color w:val="auto"/>
        </w:rPr>
      </w:pPr>
    </w:p>
    <w:p>
      <w:pPr>
        <w:ind w:right="399"/>
        <w:spacing w:after="0" w:line="218" w:lineRule="auto"/>
        <w:rPr>
          <w:sz w:val="20"/>
          <w:szCs w:val="20"/>
          <w:color w:val="auto"/>
        </w:rPr>
      </w:pPr>
      <w:r>
        <w:rPr>
          <w:rFonts w:ascii="Arial" w:cs="Arial" w:eastAsia="Arial" w:hAnsi="Arial"/>
          <w:sz w:val="18"/>
          <w:szCs w:val="18"/>
          <w:color w:val="auto"/>
        </w:rPr>
        <w:t>Incorporated by reference to Exhibit 10.34.1 of Xylem Inc.’s Form 8-K filed on June 23, 2020 (CIK No. 1524472, File No. 1-35229).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7" w:lineRule="exact"/>
        <w:rPr>
          <w:sz w:val="20"/>
          <w:szCs w:val="20"/>
          <w:color w:val="auto"/>
        </w:rPr>
      </w:pPr>
    </w:p>
    <w:p>
      <w:pPr>
        <w:sectPr>
          <w:pgSz w:w="11900" w:h="16838" w:orient="portrait"/>
          <w:cols w:equalWidth="0" w:num="2">
            <w:col w:w="5120" w:space="60"/>
            <w:col w:w="4959"/>
          </w:cols>
          <w:pgMar w:left="320" w:top="1174" w:right="1440" w:bottom="1440" w:gutter="0" w:footer="0" w:header="0"/>
          <w:type w:val="continuous"/>
        </w:sectPr>
      </w:pPr>
    </w:p>
    <w:p>
      <w:pPr>
        <w:ind w:left="20"/>
        <w:spacing w:after="0"/>
        <w:tabs>
          <w:tab w:leader="none" w:pos="940" w:val="left"/>
        </w:tabs>
        <w:rPr>
          <w:rFonts w:ascii="Arial" w:cs="Arial" w:eastAsia="Arial" w:hAnsi="Arial"/>
          <w:sz w:val="18"/>
          <w:szCs w:val="18"/>
          <w:color w:val="0000FF"/>
        </w:rPr>
      </w:pPr>
      <w:hyperlink w:anchor="page125">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7"/>
          <w:szCs w:val="17"/>
          <w:color w:val="0000FF"/>
        </w:rPr>
        <w:t>Certification pursuant to Rule 13a-14(a)/15d-14(a) of Filed herewith.</w:t>
      </w:r>
    </w:p>
    <w:p>
      <w:pPr>
        <w:ind w:left="960"/>
        <w:spacing w:after="0" w:line="202" w:lineRule="auto"/>
        <w:rPr>
          <w:sz w:val="20"/>
          <w:szCs w:val="20"/>
          <w:color w:val="auto"/>
        </w:rPr>
      </w:pPr>
      <w:r>
        <w:rPr>
          <w:rFonts w:ascii="Arial" w:cs="Arial" w:eastAsia="Arial" w:hAnsi="Arial"/>
          <w:sz w:val="18"/>
          <w:szCs w:val="18"/>
          <w:color w:val="auto"/>
        </w:rPr>
        <w:t>the Securities Exchange Act of 1934, as adopted</w:t>
      </w:r>
    </w:p>
    <w:p>
      <w:pPr>
        <w:ind w:left="960"/>
        <w:spacing w:after="0" w:line="203" w:lineRule="auto"/>
        <w:rPr>
          <w:sz w:val="20"/>
          <w:szCs w:val="20"/>
          <w:color w:val="auto"/>
        </w:rPr>
      </w:pPr>
      <w:r>
        <w:rPr>
          <w:rFonts w:ascii="Arial" w:cs="Arial" w:eastAsia="Arial" w:hAnsi="Arial"/>
          <w:sz w:val="18"/>
          <w:szCs w:val="18"/>
          <w:color w:val="auto"/>
        </w:rPr>
        <w:t>pursuant to Section 302 of the Sarbanes-Oxley Act</w:t>
      </w:r>
    </w:p>
    <w:p>
      <w:pPr>
        <w:ind w:left="960"/>
        <w:spacing w:after="0"/>
        <w:rPr>
          <w:sz w:val="20"/>
          <w:szCs w:val="20"/>
          <w:color w:val="auto"/>
        </w:rPr>
      </w:pPr>
      <w:r>
        <w:rPr>
          <w:rFonts w:ascii="Arial" w:cs="Arial" w:eastAsia="Arial" w:hAnsi="Arial"/>
          <w:sz w:val="18"/>
          <w:szCs w:val="18"/>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74" w:right="1440" w:bottom="1440" w:gutter="0" w:footer="0" w:header="0"/>
          <w:type w:val="continuous"/>
        </w:sectPr>
      </w:pPr>
    </w:p>
    <w:bookmarkStart w:id="115" w:name="page116"/>
    <w:bookmarkEnd w:id="115"/>
    <w:tbl>
      <w:tblPr>
        <w:tblLayout w:type="fixed"/>
        <w:tblInd w:w="100" w:type="dxa"/>
        <w:tblCellMar>
          <w:top w:w="0" w:type="dxa"/>
          <w:left w:w="0" w:type="dxa"/>
          <w:bottom w:w="0" w:type="dxa"/>
          <w:right w:w="0" w:type="dxa"/>
        </w:tblCellMar>
      </w:tblPr>
      <w:tr>
        <w:trPr>
          <w:trHeight w:val="161"/>
        </w:trPr>
        <w:tc>
          <w:tcPr>
            <w:tcW w:w="1540" w:type="dxa"/>
            <w:vAlign w:val="bottom"/>
          </w:tcPr>
          <w:p>
            <w:pPr>
              <w:jc w:val="center"/>
              <w:ind w:right="928"/>
              <w:spacing w:after="0"/>
              <w:rPr>
                <w:sz w:val="20"/>
                <w:szCs w:val="20"/>
                <w:color w:val="auto"/>
              </w:rPr>
            </w:pPr>
            <w:r>
              <w:rPr>
                <w:rFonts w:ascii="Arial" w:cs="Arial" w:eastAsia="Arial" w:hAnsi="Arial"/>
                <w:sz w:val="14"/>
                <w:szCs w:val="14"/>
                <w:b w:val="1"/>
                <w:bCs w:val="1"/>
                <w:color w:val="auto"/>
                <w:w w:val="98"/>
              </w:rPr>
              <w:t>Exhibit</w:t>
            </w:r>
          </w:p>
        </w:tc>
        <w:tc>
          <w:tcPr>
            <w:tcW w:w="36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Description</w:t>
            </w:r>
          </w:p>
        </w:tc>
        <w:tc>
          <w:tcPr>
            <w:tcW w:w="24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9"/>
              </w:rPr>
              <w:t>Location</w:t>
            </w:r>
          </w:p>
        </w:tc>
        <w:tc>
          <w:tcPr>
            <w:tcW w:w="0" w:type="dxa"/>
            <w:vAlign w:val="bottom"/>
          </w:tcPr>
          <w:p>
            <w:pPr>
              <w:spacing w:after="0"/>
              <w:rPr>
                <w:sz w:val="1"/>
                <w:szCs w:val="1"/>
                <w:color w:val="auto"/>
              </w:rPr>
            </w:pPr>
          </w:p>
        </w:tc>
      </w:tr>
      <w:tr>
        <w:trPr>
          <w:trHeight w:val="190"/>
        </w:trPr>
        <w:tc>
          <w:tcPr>
            <w:tcW w:w="1540" w:type="dxa"/>
            <w:vAlign w:val="bottom"/>
          </w:tcPr>
          <w:p>
            <w:pPr>
              <w:jc w:val="center"/>
              <w:ind w:right="928"/>
              <w:spacing w:after="0"/>
              <w:rPr>
                <w:sz w:val="20"/>
                <w:szCs w:val="20"/>
                <w:color w:val="auto"/>
              </w:rPr>
            </w:pPr>
            <w:r>
              <w:rPr>
                <w:rFonts w:ascii="Arial" w:cs="Arial" w:eastAsia="Arial" w:hAnsi="Arial"/>
                <w:sz w:val="14"/>
                <w:szCs w:val="14"/>
                <w:b w:val="1"/>
                <w:bCs w:val="1"/>
                <w:color w:val="auto"/>
              </w:rPr>
              <w:t>Number</w:t>
            </w:r>
          </w:p>
        </w:tc>
        <w:tc>
          <w:tcPr>
            <w:tcW w:w="36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62198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6219825" cy="8255"/>
                    </a:xfrm>
                    <a:prstGeom prst="rect">
                      <a:avLst/>
                    </a:prstGeom>
                    <a:noFill/>
                  </pic:spPr>
                </pic:pic>
              </a:graphicData>
            </a:graphic>
          </wp:anchor>
        </w:drawing>
      </w:r>
    </w:p>
    <w:p>
      <w:pPr>
        <w:ind w:left="20"/>
        <w:spacing w:after="0" w:line="228" w:lineRule="auto"/>
        <w:tabs>
          <w:tab w:leader="none" w:pos="940" w:val="left"/>
        </w:tabs>
        <w:rPr>
          <w:rFonts w:ascii="Arial" w:cs="Arial" w:eastAsia="Arial" w:hAnsi="Arial"/>
          <w:sz w:val="18"/>
          <w:szCs w:val="18"/>
          <w:color w:val="0000FF"/>
        </w:rPr>
      </w:pPr>
      <w:hyperlink w:anchor="page126">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7"/>
          <w:szCs w:val="17"/>
          <w:color w:val="0000FF"/>
        </w:rPr>
        <w:t>Certification pursuant to Rule 13a-14(a)/15d-14(a) of Filed herewith.</w:t>
      </w:r>
    </w:p>
    <w:p>
      <w:pPr>
        <w:ind w:left="960"/>
        <w:spacing w:after="0" w:line="202" w:lineRule="auto"/>
        <w:rPr>
          <w:sz w:val="20"/>
          <w:szCs w:val="20"/>
          <w:color w:val="auto"/>
        </w:rPr>
      </w:pPr>
      <w:r>
        <w:rPr>
          <w:rFonts w:ascii="Arial" w:cs="Arial" w:eastAsia="Arial" w:hAnsi="Arial"/>
          <w:sz w:val="18"/>
          <w:szCs w:val="18"/>
          <w:color w:val="auto"/>
        </w:rPr>
        <w:t>the Securities Exchange Act of 1934, as adopted</w:t>
      </w:r>
    </w:p>
    <w:p>
      <w:pPr>
        <w:ind w:left="960"/>
        <w:spacing w:after="0" w:line="203" w:lineRule="auto"/>
        <w:rPr>
          <w:sz w:val="20"/>
          <w:szCs w:val="20"/>
          <w:color w:val="auto"/>
        </w:rPr>
      </w:pPr>
      <w:r>
        <w:rPr>
          <w:rFonts w:ascii="Arial" w:cs="Arial" w:eastAsia="Arial" w:hAnsi="Arial"/>
          <w:sz w:val="18"/>
          <w:szCs w:val="18"/>
          <w:color w:val="auto"/>
        </w:rPr>
        <w:t>pursuant to Section 302 of the Sarbanes-Oxley Act</w:t>
      </w:r>
    </w:p>
    <w:p>
      <w:pPr>
        <w:ind w:left="960"/>
        <w:spacing w:after="0"/>
        <w:rPr>
          <w:sz w:val="20"/>
          <w:szCs w:val="20"/>
          <w:color w:val="auto"/>
        </w:rPr>
      </w:pPr>
      <w:r>
        <w:rPr>
          <w:rFonts w:ascii="Arial" w:cs="Arial" w:eastAsia="Arial" w:hAnsi="Arial"/>
          <w:sz w:val="18"/>
          <w:szCs w:val="18"/>
          <w:color w:val="auto"/>
        </w:rPr>
        <w:t>of 2002.</w:t>
      </w:r>
    </w:p>
    <w:p>
      <w:pPr>
        <w:sectPr>
          <w:pgSz w:w="11900" w:h="16838" w:orient="portrait"/>
          <w:cols w:equalWidth="0" w:num="1">
            <w:col w:w="10139"/>
          </w:cols>
          <w:pgMar w:left="320" w:top="1174" w:right="1440" w:bottom="1440" w:gutter="0" w:footer="0" w:header="0"/>
        </w:sectPr>
      </w:pPr>
    </w:p>
    <w:p>
      <w:pPr>
        <w:spacing w:after="0" w:line="75" w:lineRule="exact"/>
        <w:rPr>
          <w:sz w:val="20"/>
          <w:szCs w:val="20"/>
          <w:color w:val="auto"/>
        </w:rPr>
      </w:pPr>
    </w:p>
    <w:p>
      <w:pPr>
        <w:ind w:left="960" w:right="60" w:hanging="926"/>
        <w:spacing w:after="0" w:line="218" w:lineRule="auto"/>
        <w:tabs>
          <w:tab w:leader="none" w:pos="940" w:val="left"/>
        </w:tabs>
        <w:rPr>
          <w:rFonts w:ascii="Arial" w:cs="Arial" w:eastAsia="Arial" w:hAnsi="Arial"/>
          <w:sz w:val="18"/>
          <w:szCs w:val="18"/>
          <w:color w:val="0000FF"/>
        </w:rPr>
      </w:pPr>
      <w:hyperlink w:anchor="page127">
        <w:r>
          <w:rPr>
            <w:rFonts w:ascii="Arial" w:cs="Arial" w:eastAsia="Arial" w:hAnsi="Arial"/>
            <w:sz w:val="18"/>
            <w:szCs w:val="18"/>
            <w:u w:val="single" w:color="auto"/>
            <w:color w:val="0000FF"/>
          </w:rPr>
          <w:t>32.1</w:t>
        </w:r>
      </w:hyperlink>
      <w:r>
        <w:rPr>
          <w:rFonts w:ascii="Arial" w:cs="Arial" w:eastAsia="Arial" w:hAnsi="Arial"/>
          <w:sz w:val="18"/>
          <w:szCs w:val="18"/>
          <w:color w:val="0000FF"/>
        </w:rPr>
        <w:tab/>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60" w:right="60" w:hanging="926"/>
        <w:spacing w:after="0" w:line="218" w:lineRule="auto"/>
        <w:tabs>
          <w:tab w:leader="none" w:pos="940" w:val="left"/>
        </w:tabs>
        <w:rPr>
          <w:rFonts w:ascii="Arial" w:cs="Arial" w:eastAsia="Arial" w:hAnsi="Arial"/>
          <w:sz w:val="18"/>
          <w:szCs w:val="18"/>
          <w:color w:val="0000FF"/>
        </w:rPr>
      </w:pPr>
      <w:hyperlink w:anchor="page128">
        <w:r>
          <w:rPr>
            <w:rFonts w:ascii="Arial" w:cs="Arial" w:eastAsia="Arial" w:hAnsi="Arial"/>
            <w:sz w:val="18"/>
            <w:szCs w:val="18"/>
            <w:u w:val="single" w:color="auto"/>
            <w:color w:val="0000FF"/>
          </w:rPr>
          <w:t>32.2</w:t>
        </w:r>
      </w:hyperlink>
      <w:r>
        <w:rPr>
          <w:rFonts w:ascii="Arial" w:cs="Arial" w:eastAsia="Arial" w:hAnsi="Arial"/>
          <w:sz w:val="18"/>
          <w:szCs w:val="18"/>
          <w:color w:val="0000FF"/>
        </w:rPr>
        <w:tab/>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60" w:hanging="926"/>
        <w:spacing w:after="0" w:line="214"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Annual Report on Form 10-K for the year ended December 31, 2021, formatted in Inline Extensible Business Reporting Language (Inline XBRL): (i) Consolidated Income Statements, (ii) Consolidated Statements of Comprehensive Income, (iii) Consolidated Balance Sheets, (iv) Consolidated Statements of Cash Flows,</w:t>
      </w:r>
    </w:p>
    <w:p>
      <w:pPr>
        <w:spacing w:after="0" w:line="3" w:lineRule="exact"/>
        <w:rPr>
          <w:sz w:val="20"/>
          <w:szCs w:val="20"/>
          <w:color w:val="auto"/>
        </w:rPr>
      </w:pPr>
    </w:p>
    <w:p>
      <w:pPr>
        <w:ind w:left="960" w:hanging="8"/>
        <w:spacing w:after="0" w:line="239" w:lineRule="auto"/>
        <w:tabs>
          <w:tab w:leader="none" w:pos="12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Consolidated Statement of Stockholder's Equity and (vi) Notes to Consolidated Financial Statements.</w:t>
      </w:r>
    </w:p>
    <w:p>
      <w:pPr>
        <w:spacing w:after="0" w:line="14" w:lineRule="exact"/>
        <w:rPr>
          <w:sz w:val="20"/>
          <w:szCs w:val="20"/>
          <w:color w:val="auto"/>
        </w:rPr>
      </w:pPr>
    </w:p>
    <w:p>
      <w:pPr>
        <w:ind w:left="960" w:right="80" w:hanging="926"/>
        <w:spacing w:after="0" w:line="214" w:lineRule="auto"/>
        <w:tabs>
          <w:tab w:leader="none" w:pos="9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Annual Report on Form 10-K for the year ended December 31, 2021, formatted in Inline XBRL and contained in Exhibit 101.0.</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479"/>
        <w:spacing w:after="0" w:line="209"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8" w:lineRule="exact"/>
        <w:rPr>
          <w:sz w:val="20"/>
          <w:szCs w:val="20"/>
          <w:color w:val="auto"/>
        </w:rPr>
      </w:pPr>
    </w:p>
    <w:p>
      <w:pPr>
        <w:ind w:right="479"/>
        <w:spacing w:after="0" w:line="209" w:lineRule="auto"/>
        <w:rPr>
          <w:sz w:val="20"/>
          <w:szCs w:val="20"/>
          <w:color w:val="auto"/>
        </w:rPr>
      </w:pPr>
      <w:r>
        <w:rPr>
          <w:rFonts w:ascii="Arial" w:cs="Arial" w:eastAsia="Arial" w:hAnsi="Arial"/>
          <w:sz w:val="18"/>
          <w:szCs w:val="18"/>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8" w:lineRule="exact"/>
        <w:rPr>
          <w:sz w:val="20"/>
          <w:szCs w:val="20"/>
          <w:color w:val="auto"/>
        </w:rPr>
      </w:pPr>
    </w:p>
    <w:p>
      <w:pPr>
        <w:jc w:val="both"/>
        <w:ind w:right="399"/>
        <w:spacing w:after="0" w:line="218"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000" w:lineRule="exact"/>
        <w:rPr>
          <w:sz w:val="20"/>
          <w:szCs w:val="20"/>
          <w:color w:val="auto"/>
        </w:rPr>
      </w:pPr>
    </w:p>
    <w:p>
      <w:pPr>
        <w:sectPr>
          <w:pgSz w:w="11900" w:h="16838" w:orient="portrait"/>
          <w:cols w:equalWidth="0" w:num="2">
            <w:col w:w="5140" w:space="40"/>
            <w:col w:w="4959"/>
          </w:cols>
          <w:pgMar w:left="320" w:top="1174" w:right="1440"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89"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74" w:right="1440" w:bottom="1440" w:gutter="0" w:footer="0" w:header="0"/>
          <w:type w:val="continuous"/>
        </w:sectPr>
      </w:pPr>
    </w:p>
    <w:bookmarkStart w:id="116" w:name="page117"/>
    <w:bookmarkEnd w:id="116"/>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XYLEM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5715</wp:posOffset>
            </wp:positionV>
            <wp:extent cx="37884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3788410" cy="8255"/>
                    </a:xfrm>
                    <a:prstGeom prst="rect">
                      <a:avLst/>
                    </a:prstGeom>
                    <a:noFill/>
                  </pic:spPr>
                </pic:pic>
              </a:graphicData>
            </a:graphic>
          </wp:anchor>
        </w:drawing>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Geri McShane</w:t>
      </w:r>
    </w:p>
    <w:p>
      <w:pPr>
        <w:spacing w:after="0" w:line="10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Controller and Chief Accounting Officer</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882" w:right="4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Patrick K. Decker</w:t>
            </w:r>
          </w:p>
        </w:tc>
      </w:tr>
      <w:tr>
        <w:trPr>
          <w:trHeight w:val="228"/>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28"/>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Sandra E. Rowland</w:t>
            </w:r>
          </w:p>
        </w:tc>
      </w:tr>
      <w:tr>
        <w:trPr>
          <w:trHeight w:val="228"/>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 McShane</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 McShane</w:t>
            </w:r>
          </w:p>
        </w:tc>
      </w:tr>
      <w:tr>
        <w:trPr>
          <w:trHeight w:val="228"/>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Jeanne Beliveau-Dunn</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Jeanne Beliveau-Dunn,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Jorge M. Gomez</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Jorge M. Gomez,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Loranger</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Steven R. Loranger,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Surya N. Mohapatra</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Surya N. Mohapatra, Director</w:t>
            </w:r>
          </w:p>
        </w:tc>
      </w:tr>
      <w:tr>
        <w:trPr>
          <w:trHeight w:val="483"/>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Morelli</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 D. Morelli,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Markos I. Tambakeras</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Markos I. Tambakeras,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389"/>
        </w:trPr>
        <w:tc>
          <w:tcPr>
            <w:tcW w:w="2620" w:type="dxa"/>
            <w:vAlign w:val="bottom"/>
          </w:tcPr>
          <w:p>
            <w:pPr>
              <w:spacing w:after="0"/>
              <w:rPr>
                <w:sz w:val="20"/>
                <w:szCs w:val="20"/>
                <w:color w:val="auto"/>
              </w:rPr>
            </w:pPr>
            <w:r>
              <w:rPr>
                <w:rFonts w:ascii="Arial" w:cs="Arial" w:eastAsia="Arial" w:hAnsi="Arial"/>
                <w:sz w:val="18"/>
                <w:szCs w:val="18"/>
                <w:color w:val="auto"/>
              </w:rPr>
              <w:t>February 25, 2022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Uday Yadav</w:t>
            </w:r>
          </w:p>
        </w:tc>
      </w:tr>
      <w:tr>
        <w:trPr>
          <w:trHeight w:val="222"/>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ectPr>
          <w:pgSz w:w="11900" w:h="16838" w:orient="portrait"/>
          <w:cols w:equalWidth="0" w:num="1">
            <w:col w:w="11200"/>
          </w:cols>
          <w:pgMar w:left="340" w:top="120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200"/>
          </w:cols>
          <w:pgMar w:left="340" w:top="1200" w:right="359" w:bottom="1440" w:gutter="0" w:footer="0" w:header="0"/>
          <w:type w:val="continuous"/>
        </w:sectPr>
      </w:pPr>
    </w:p>
    <w:bookmarkStart w:id="118" w:name="page119"/>
    <w:bookmarkEnd w:id="118"/>
    <w:tbl>
      <w:tblPr>
        <w:tblLayout w:type="fixed"/>
        <w:tblInd w:w="10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380" w:type="dxa"/>
            <w:vAlign w:val="bottom"/>
          </w:tcPr>
          <w:p>
            <w:pPr>
              <w:ind w:left="242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457"/>
        </w:trPr>
        <w:tc>
          <w:tcPr>
            <w:tcW w:w="3860" w:type="dxa"/>
            <w:vAlign w:val="bottom"/>
          </w:tcPr>
          <w:p>
            <w:pPr>
              <w:spacing w:after="0"/>
              <w:rPr>
                <w:sz w:val="24"/>
                <w:szCs w:val="24"/>
                <w:color w:val="auto"/>
              </w:rPr>
            </w:pPr>
          </w:p>
        </w:tc>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SUBSIDIARIES OF THE REGISTRANT*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6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3900" w:type="dxa"/>
            <w:vAlign w:val="bottom"/>
            <w:vMerge w:val="restart"/>
          </w:tcPr>
          <w:p>
            <w:pPr>
              <w:ind w:left="2080"/>
              <w:spacing w:after="0"/>
              <w:rPr>
                <w:sz w:val="20"/>
                <w:szCs w:val="20"/>
                <w:color w:val="auto"/>
              </w:rPr>
            </w:pPr>
            <w:r>
              <w:rPr>
                <w:rFonts w:ascii="Arial" w:cs="Arial" w:eastAsia="Arial" w:hAnsi="Arial"/>
                <w:sz w:val="20"/>
                <w:szCs w:val="20"/>
                <w:b w:val="1"/>
                <w:bCs w:val="1"/>
                <w:color w:val="auto"/>
              </w:rPr>
              <w:t>Jurisdiction</w:t>
            </w:r>
          </w:p>
        </w:tc>
        <w:tc>
          <w:tcPr>
            <w:tcW w:w="3380" w:type="dxa"/>
            <w:vAlign w:val="bottom"/>
          </w:tcPr>
          <w:p>
            <w:pPr>
              <w:ind w:left="440"/>
              <w:spacing w:after="0" w:line="215" w:lineRule="exact"/>
              <w:rPr>
                <w:sz w:val="20"/>
                <w:szCs w:val="20"/>
                <w:color w:val="auto"/>
              </w:rPr>
            </w:pPr>
            <w:r>
              <w:rPr>
                <w:rFonts w:ascii="Arial" w:cs="Arial" w:eastAsia="Arial" w:hAnsi="Arial"/>
                <w:sz w:val="20"/>
                <w:szCs w:val="20"/>
                <w:b w:val="1"/>
                <w:bCs w:val="1"/>
                <w:color w:val="auto"/>
              </w:rPr>
              <w:t>Name Under Which Doing</w:t>
            </w:r>
          </w:p>
        </w:tc>
        <w:tc>
          <w:tcPr>
            <w:tcW w:w="0" w:type="dxa"/>
            <w:vAlign w:val="bottom"/>
          </w:tcPr>
          <w:p>
            <w:pPr>
              <w:spacing w:after="0"/>
              <w:rPr>
                <w:sz w:val="1"/>
                <w:szCs w:val="1"/>
                <w:color w:val="auto"/>
              </w:rPr>
            </w:pPr>
          </w:p>
        </w:tc>
      </w:tr>
      <w:tr>
        <w:trPr>
          <w:trHeight w:val="238"/>
        </w:trPr>
        <w:tc>
          <w:tcPr>
            <w:tcW w:w="3860" w:type="dxa"/>
            <w:vAlign w:val="bottom"/>
            <w:vMerge w:val="continue"/>
          </w:tcPr>
          <w:p>
            <w:pPr>
              <w:spacing w:after="0"/>
              <w:rPr>
                <w:sz w:val="20"/>
                <w:szCs w:val="20"/>
                <w:color w:val="auto"/>
              </w:rPr>
            </w:pPr>
          </w:p>
        </w:tc>
        <w:tc>
          <w:tcPr>
            <w:tcW w:w="3900" w:type="dxa"/>
            <w:vAlign w:val="bottom"/>
            <w:vMerge w:val="continue"/>
          </w:tcPr>
          <w:p>
            <w:pPr>
              <w:spacing w:after="0"/>
              <w:rPr>
                <w:sz w:val="20"/>
                <w:szCs w:val="20"/>
                <w:color w:val="auto"/>
              </w:rPr>
            </w:pPr>
          </w:p>
        </w:tc>
        <w:tc>
          <w:tcPr>
            <w:tcW w:w="3380" w:type="dxa"/>
            <w:vAlign w:val="bottom"/>
          </w:tcPr>
          <w:p>
            <w:pPr>
              <w:ind w:left="44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Aanderaa Data Instruments AS</w:t>
            </w:r>
          </w:p>
        </w:tc>
        <w:tc>
          <w:tcPr>
            <w:tcW w:w="3900" w:type="dxa"/>
            <w:vAlign w:val="bottom"/>
          </w:tcPr>
          <w:p>
            <w:pPr>
              <w:ind w:left="2080"/>
              <w:spacing w:after="0"/>
              <w:rPr>
                <w:sz w:val="20"/>
                <w:szCs w:val="20"/>
                <w:color w:val="auto"/>
              </w:rPr>
            </w:pPr>
            <w:r>
              <w:rPr>
                <w:rFonts w:ascii="Arial" w:cs="Arial" w:eastAsia="Arial" w:hAnsi="Arial"/>
                <w:sz w:val="20"/>
                <w:szCs w:val="20"/>
                <w:color w:val="auto"/>
              </w:rPr>
              <w:t>Norway</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AquaTune GmbH</w:t>
            </w:r>
          </w:p>
        </w:tc>
        <w:tc>
          <w:tcPr>
            <w:tcW w:w="3900" w:type="dxa"/>
            <w:vAlign w:val="bottom"/>
          </w:tcPr>
          <w:p>
            <w:pPr>
              <w:ind w:left="2080"/>
              <w:spacing w:after="0"/>
              <w:rPr>
                <w:sz w:val="20"/>
                <w:szCs w:val="20"/>
                <w:color w:val="auto"/>
              </w:rPr>
            </w:pPr>
            <w:r>
              <w:rPr>
                <w:rFonts w:ascii="Arial" w:cs="Arial" w:eastAsia="Arial" w:hAnsi="Arial"/>
                <w:sz w:val="20"/>
                <w:szCs w:val="20"/>
                <w:color w:val="auto"/>
              </w:rPr>
              <w:t>Germany</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Arrow Rental Limited</w:t>
            </w:r>
          </w:p>
        </w:tc>
        <w:tc>
          <w:tcPr>
            <w:tcW w:w="3900" w:type="dxa"/>
            <w:vAlign w:val="bottom"/>
          </w:tcPr>
          <w:p>
            <w:pPr>
              <w:ind w:left="2080"/>
              <w:spacing w:after="0"/>
              <w:rPr>
                <w:sz w:val="20"/>
                <w:szCs w:val="20"/>
                <w:color w:val="auto"/>
              </w:rPr>
            </w:pPr>
            <w:r>
              <w:rPr>
                <w:rFonts w:ascii="Arial" w:cs="Arial" w:eastAsia="Arial" w:hAnsi="Arial"/>
                <w:sz w:val="20"/>
                <w:szCs w:val="20"/>
                <w:color w:val="auto"/>
              </w:rPr>
              <w:t>Ireland</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Bellingham &amp; Stanley Limited</w:t>
            </w:r>
          </w:p>
        </w:tc>
        <w:tc>
          <w:tcPr>
            <w:tcW w:w="3900" w:type="dxa"/>
            <w:vAlign w:val="bottom"/>
          </w:tcPr>
          <w:p>
            <w:pPr>
              <w:ind w:left="2080"/>
              <w:spacing w:after="0"/>
              <w:rPr>
                <w:sz w:val="20"/>
                <w:szCs w:val="20"/>
                <w:color w:val="auto"/>
              </w:rPr>
            </w:pPr>
            <w:r>
              <w:rPr>
                <w:rFonts w:ascii="Arial" w:cs="Arial" w:eastAsia="Arial" w:hAnsi="Arial"/>
                <w:sz w:val="20"/>
                <w:szCs w:val="20"/>
                <w:color w:val="auto"/>
              </w:rPr>
              <w:t>England &amp; Wales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Bombas Flygt de Venezuela S.A.</w:t>
            </w:r>
          </w:p>
        </w:tc>
        <w:tc>
          <w:tcPr>
            <w:tcW w:w="3900" w:type="dxa"/>
            <w:vAlign w:val="bottom"/>
          </w:tcPr>
          <w:p>
            <w:pPr>
              <w:ind w:left="2080"/>
              <w:spacing w:after="0"/>
              <w:rPr>
                <w:sz w:val="20"/>
                <w:szCs w:val="20"/>
                <w:color w:val="auto"/>
              </w:rPr>
            </w:pPr>
            <w:r>
              <w:rPr>
                <w:rFonts w:ascii="Arial" w:cs="Arial" w:eastAsia="Arial" w:hAnsi="Arial"/>
                <w:sz w:val="20"/>
                <w:szCs w:val="20"/>
                <w:color w:val="auto"/>
              </w:rPr>
              <w:t>Venezuela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BS Pumps Limited</w:t>
            </w:r>
          </w:p>
        </w:tc>
        <w:tc>
          <w:tcPr>
            <w:tcW w:w="3900" w:type="dxa"/>
            <w:vAlign w:val="bottom"/>
          </w:tcPr>
          <w:p>
            <w:pPr>
              <w:ind w:left="2080"/>
              <w:spacing w:after="0"/>
              <w:rPr>
                <w:sz w:val="20"/>
                <w:szCs w:val="20"/>
                <w:color w:val="auto"/>
              </w:rPr>
            </w:pPr>
            <w:r>
              <w:rPr>
                <w:rFonts w:ascii="Arial" w:cs="Arial" w:eastAsia="Arial" w:hAnsi="Arial"/>
                <w:sz w:val="20"/>
                <w:szCs w:val="20"/>
                <w:color w:val="auto"/>
              </w:rPr>
              <w:t>England &amp; Wales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CMS Research Corporation</w:t>
            </w:r>
          </w:p>
        </w:tc>
        <w:tc>
          <w:tcPr>
            <w:tcW w:w="3900" w:type="dxa"/>
            <w:vAlign w:val="bottom"/>
          </w:tcPr>
          <w:p>
            <w:pPr>
              <w:ind w:left="2080"/>
              <w:spacing w:after="0"/>
              <w:rPr>
                <w:sz w:val="20"/>
                <w:szCs w:val="20"/>
                <w:color w:val="auto"/>
              </w:rPr>
            </w:pPr>
            <w:r>
              <w:rPr>
                <w:rFonts w:ascii="Arial" w:cs="Arial" w:eastAsia="Arial" w:hAnsi="Arial"/>
                <w:sz w:val="20"/>
                <w:szCs w:val="20"/>
                <w:color w:val="auto"/>
              </w:rPr>
              <w:t>Oklahoma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EmNet, LLC</w:t>
            </w:r>
          </w:p>
        </w:tc>
        <w:tc>
          <w:tcPr>
            <w:tcW w:w="3900" w:type="dxa"/>
            <w:vAlign w:val="bottom"/>
          </w:tcPr>
          <w:p>
            <w:pPr>
              <w:ind w:left="2080"/>
              <w:spacing w:after="0"/>
              <w:rPr>
                <w:sz w:val="20"/>
                <w:szCs w:val="20"/>
                <w:color w:val="auto"/>
              </w:rPr>
            </w:pPr>
            <w:r>
              <w:rPr>
                <w:rFonts w:ascii="Arial" w:cs="Arial" w:eastAsia="Arial" w:hAnsi="Arial"/>
                <w:sz w:val="20"/>
                <w:szCs w:val="20"/>
                <w:color w:val="auto"/>
              </w:rPr>
              <w:t>Indiana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Faradyne Motors (Suzhou) Co. Ltd.</w:t>
            </w:r>
          </w:p>
        </w:tc>
        <w:tc>
          <w:tcPr>
            <w:tcW w:w="3900" w:type="dxa"/>
            <w:vAlign w:val="bottom"/>
          </w:tcPr>
          <w:p>
            <w:pPr>
              <w:ind w:left="2080"/>
              <w:spacing w:after="0"/>
              <w:rPr>
                <w:sz w:val="20"/>
                <w:szCs w:val="20"/>
                <w:color w:val="auto"/>
              </w:rPr>
            </w:pPr>
            <w:r>
              <w:rPr>
                <w:rFonts w:ascii="Arial" w:cs="Arial" w:eastAsia="Arial" w:hAnsi="Arial"/>
                <w:sz w:val="20"/>
                <w:szCs w:val="20"/>
                <w:color w:val="auto"/>
              </w:rPr>
              <w:t>China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Faradyne Motors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Flow Control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Fluid Handling,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Godwin Holdings Ltd.</w:t>
            </w:r>
          </w:p>
        </w:tc>
        <w:tc>
          <w:tcPr>
            <w:tcW w:w="3900" w:type="dxa"/>
            <w:vAlign w:val="bottom"/>
          </w:tcPr>
          <w:p>
            <w:pPr>
              <w:ind w:left="2080"/>
              <w:spacing w:after="0"/>
              <w:rPr>
                <w:sz w:val="20"/>
                <w:szCs w:val="20"/>
                <w:color w:val="auto"/>
              </w:rPr>
            </w:pPr>
            <w:r>
              <w:rPr>
                <w:rFonts w:ascii="Arial" w:cs="Arial" w:eastAsia="Arial" w:hAnsi="Arial"/>
                <w:sz w:val="20"/>
                <w:szCs w:val="20"/>
                <w:color w:val="auto"/>
              </w:rPr>
              <w:t>England &amp; Wales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Goulds Water Technology Philippines, Inc</w:t>
            </w:r>
          </w:p>
        </w:tc>
        <w:tc>
          <w:tcPr>
            <w:tcW w:w="3900" w:type="dxa"/>
            <w:vAlign w:val="bottom"/>
          </w:tcPr>
          <w:p>
            <w:pPr>
              <w:ind w:left="2080"/>
              <w:spacing w:after="0"/>
              <w:rPr>
                <w:sz w:val="20"/>
                <w:szCs w:val="20"/>
                <w:color w:val="auto"/>
              </w:rPr>
            </w:pPr>
            <w:r>
              <w:rPr>
                <w:rFonts w:ascii="Arial" w:cs="Arial" w:eastAsia="Arial" w:hAnsi="Arial"/>
                <w:sz w:val="20"/>
                <w:szCs w:val="20"/>
                <w:color w:val="auto"/>
              </w:rPr>
              <w:t>Philippines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Grindex Pumps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IMT B.V.</w:t>
            </w:r>
          </w:p>
        </w:tc>
        <w:tc>
          <w:tcPr>
            <w:tcW w:w="3900" w:type="dxa"/>
            <w:vAlign w:val="bottom"/>
          </w:tcPr>
          <w:p>
            <w:pPr>
              <w:ind w:left="2080"/>
              <w:spacing w:after="0"/>
              <w:rPr>
                <w:sz w:val="20"/>
                <w:szCs w:val="20"/>
                <w:color w:val="auto"/>
              </w:rPr>
            </w:pPr>
            <w:r>
              <w:rPr>
                <w:rFonts w:ascii="Arial" w:cs="Arial" w:eastAsia="Arial" w:hAnsi="Arial"/>
                <w:sz w:val="20"/>
                <w:szCs w:val="20"/>
                <w:color w:val="auto"/>
              </w:rPr>
              <w:t>Netherlands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Jabsco Marine Italia s.r.l.</w:t>
            </w:r>
          </w:p>
        </w:tc>
        <w:tc>
          <w:tcPr>
            <w:tcW w:w="3900" w:type="dxa"/>
            <w:vAlign w:val="bottom"/>
          </w:tcPr>
          <w:p>
            <w:pPr>
              <w:ind w:left="2080"/>
              <w:spacing w:after="0"/>
              <w:rPr>
                <w:sz w:val="20"/>
                <w:szCs w:val="20"/>
                <w:color w:val="auto"/>
              </w:rPr>
            </w:pPr>
            <w:r>
              <w:rPr>
                <w:rFonts w:ascii="Arial" w:cs="Arial" w:eastAsia="Arial" w:hAnsi="Arial"/>
                <w:sz w:val="20"/>
                <w:szCs w:val="20"/>
                <w:color w:val="auto"/>
              </w:rPr>
              <w:t>Italy</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Jabsco S. de R.L. De C.V.</w:t>
            </w:r>
          </w:p>
        </w:tc>
        <w:tc>
          <w:tcPr>
            <w:tcW w:w="3900" w:type="dxa"/>
            <w:vAlign w:val="bottom"/>
          </w:tcPr>
          <w:p>
            <w:pPr>
              <w:ind w:left="2080"/>
              <w:spacing w:after="0"/>
              <w:rPr>
                <w:sz w:val="20"/>
                <w:szCs w:val="20"/>
                <w:color w:val="auto"/>
              </w:rPr>
            </w:pPr>
            <w:r>
              <w:rPr>
                <w:rFonts w:ascii="Arial" w:cs="Arial" w:eastAsia="Arial" w:hAnsi="Arial"/>
                <w:sz w:val="20"/>
                <w:szCs w:val="20"/>
                <w:color w:val="auto"/>
              </w:rPr>
              <w:t>Mexico</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Jason Consultants,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w w:val="92"/>
              </w:rPr>
              <w:t>K201920713 (South Africa) Proprietary Limited</w:t>
            </w:r>
          </w:p>
        </w:tc>
        <w:tc>
          <w:tcPr>
            <w:tcW w:w="3900" w:type="dxa"/>
            <w:vAlign w:val="bottom"/>
          </w:tcPr>
          <w:p>
            <w:pPr>
              <w:ind w:left="2080"/>
              <w:spacing w:after="0"/>
              <w:rPr>
                <w:sz w:val="20"/>
                <w:szCs w:val="20"/>
                <w:color w:val="auto"/>
              </w:rPr>
            </w:pPr>
            <w:r>
              <w:rPr>
                <w:rFonts w:ascii="Arial" w:cs="Arial" w:eastAsia="Arial" w:hAnsi="Arial"/>
                <w:sz w:val="20"/>
                <w:szCs w:val="20"/>
                <w:color w:val="auto"/>
              </w:rPr>
              <w:t>South Africa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Lowara s.r.l. Unipersonale</w:t>
            </w:r>
          </w:p>
        </w:tc>
        <w:tc>
          <w:tcPr>
            <w:tcW w:w="3900" w:type="dxa"/>
            <w:vAlign w:val="bottom"/>
          </w:tcPr>
          <w:p>
            <w:pPr>
              <w:ind w:left="2080"/>
              <w:spacing w:after="0"/>
              <w:rPr>
                <w:sz w:val="20"/>
                <w:szCs w:val="20"/>
                <w:color w:val="auto"/>
              </w:rPr>
            </w:pPr>
            <w:r>
              <w:rPr>
                <w:rFonts w:ascii="Arial" w:cs="Arial" w:eastAsia="Arial" w:hAnsi="Arial"/>
                <w:sz w:val="20"/>
                <w:szCs w:val="20"/>
                <w:color w:val="auto"/>
              </w:rPr>
              <w:t>Italy</w:t>
            </w:r>
          </w:p>
        </w:tc>
        <w:tc>
          <w:tcPr>
            <w:tcW w:w="3380" w:type="dxa"/>
            <w:vAlign w:val="bottom"/>
          </w:tcPr>
          <w:p>
            <w:pPr>
              <w:ind w:left="440"/>
              <w:spacing w:after="0"/>
              <w:rPr>
                <w:sz w:val="20"/>
                <w:szCs w:val="20"/>
                <w:color w:val="auto"/>
              </w:rPr>
            </w:pPr>
            <w:r>
              <w:rPr>
                <w:rFonts w:ascii="Arial" w:cs="Arial" w:eastAsia="Arial" w:hAnsi="Arial"/>
                <w:sz w:val="20"/>
                <w:szCs w:val="20"/>
                <w:color w:val="auto"/>
              </w:rPr>
              <w:t>Lowara</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20"/>
                <w:szCs w:val="20"/>
                <w:color w:val="auto"/>
              </w:rPr>
              <w:t>Lowara UK Ltd</w:t>
            </w:r>
          </w:p>
        </w:tc>
        <w:tc>
          <w:tcPr>
            <w:tcW w:w="3900" w:type="dxa"/>
            <w:vAlign w:val="bottom"/>
          </w:tcPr>
          <w:p>
            <w:pPr>
              <w:ind w:left="2080"/>
              <w:spacing w:after="0"/>
              <w:rPr>
                <w:sz w:val="20"/>
                <w:szCs w:val="20"/>
                <w:color w:val="auto"/>
              </w:rPr>
            </w:pPr>
            <w:r>
              <w:rPr>
                <w:rFonts w:ascii="Arial" w:cs="Arial" w:eastAsia="Arial" w:hAnsi="Arial"/>
                <w:sz w:val="20"/>
                <w:szCs w:val="20"/>
                <w:color w:val="auto"/>
              </w:rPr>
              <w:t>England &amp; Wales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860" w:type="dxa"/>
            <w:vAlign w:val="bottom"/>
          </w:tcPr>
          <w:p>
            <w:pPr>
              <w:spacing w:after="0"/>
              <w:rPr>
                <w:sz w:val="20"/>
                <w:szCs w:val="20"/>
                <w:color w:val="auto"/>
              </w:rPr>
            </w:pPr>
            <w:r>
              <w:rPr>
                <w:rFonts w:ascii="Arial" w:cs="Arial" w:eastAsia="Arial" w:hAnsi="Arial"/>
                <w:sz w:val="20"/>
                <w:szCs w:val="20"/>
                <w:color w:val="auto"/>
              </w:rPr>
              <w:t>Lowara Vogel Polska SP.ZO.O.</w:t>
            </w:r>
          </w:p>
        </w:tc>
        <w:tc>
          <w:tcPr>
            <w:tcW w:w="3900" w:type="dxa"/>
            <w:vAlign w:val="bottom"/>
          </w:tcPr>
          <w:p>
            <w:pPr>
              <w:ind w:left="2080"/>
              <w:spacing w:after="0"/>
              <w:rPr>
                <w:sz w:val="20"/>
                <w:szCs w:val="20"/>
                <w:color w:val="auto"/>
              </w:rPr>
            </w:pPr>
            <w:r>
              <w:rPr>
                <w:rFonts w:ascii="Arial" w:cs="Arial" w:eastAsia="Arial" w:hAnsi="Arial"/>
                <w:sz w:val="20"/>
                <w:szCs w:val="20"/>
                <w:color w:val="auto"/>
              </w:rPr>
              <w:t>Poland</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MJK Automation ApS</w:t>
            </w:r>
          </w:p>
        </w:tc>
        <w:tc>
          <w:tcPr>
            <w:tcW w:w="3900" w:type="dxa"/>
            <w:vAlign w:val="bottom"/>
          </w:tcPr>
          <w:p>
            <w:pPr>
              <w:ind w:left="2080"/>
              <w:spacing w:after="0"/>
              <w:rPr>
                <w:sz w:val="20"/>
                <w:szCs w:val="20"/>
                <w:color w:val="auto"/>
              </w:rPr>
            </w:pPr>
            <w:r>
              <w:rPr>
                <w:rFonts w:ascii="Arial" w:cs="Arial" w:eastAsia="Arial" w:hAnsi="Arial"/>
                <w:sz w:val="20"/>
                <w:szCs w:val="20"/>
                <w:color w:val="auto"/>
              </w:rPr>
              <w:t>Denmark</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MultiTrode Inc.</w:t>
            </w:r>
          </w:p>
        </w:tc>
        <w:tc>
          <w:tcPr>
            <w:tcW w:w="3900" w:type="dxa"/>
            <w:vAlign w:val="bottom"/>
          </w:tcPr>
          <w:p>
            <w:pPr>
              <w:ind w:left="2080"/>
              <w:spacing w:after="0"/>
              <w:rPr>
                <w:sz w:val="20"/>
                <w:szCs w:val="20"/>
                <w:color w:val="auto"/>
              </w:rPr>
            </w:pPr>
            <w:r>
              <w:rPr>
                <w:rFonts w:ascii="Arial" w:cs="Arial" w:eastAsia="Arial" w:hAnsi="Arial"/>
                <w:sz w:val="20"/>
                <w:szCs w:val="20"/>
                <w:color w:val="auto"/>
              </w:rPr>
              <w:t>Florida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Multitrode Pty Ltd</w:t>
            </w:r>
          </w:p>
        </w:tc>
        <w:tc>
          <w:tcPr>
            <w:tcW w:w="3900" w:type="dxa"/>
            <w:vAlign w:val="bottom"/>
          </w:tcPr>
          <w:p>
            <w:pPr>
              <w:ind w:left="2080"/>
              <w:spacing w:after="0"/>
              <w:rPr>
                <w:sz w:val="20"/>
                <w:szCs w:val="20"/>
                <w:color w:val="auto"/>
              </w:rPr>
            </w:pPr>
            <w:r>
              <w:rPr>
                <w:rFonts w:ascii="Arial" w:cs="Arial" w:eastAsia="Arial" w:hAnsi="Arial"/>
                <w:sz w:val="20"/>
                <w:szCs w:val="20"/>
                <w:color w:val="auto"/>
              </w:rPr>
              <w:t>Australia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Nova Analytics Europe, LLC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O.I. Corporation</w:t>
            </w:r>
          </w:p>
        </w:tc>
        <w:tc>
          <w:tcPr>
            <w:tcW w:w="3900" w:type="dxa"/>
            <w:vAlign w:val="bottom"/>
          </w:tcPr>
          <w:p>
            <w:pPr>
              <w:ind w:left="2080"/>
              <w:spacing w:after="0"/>
              <w:rPr>
                <w:sz w:val="20"/>
                <w:szCs w:val="20"/>
                <w:color w:val="auto"/>
              </w:rPr>
            </w:pPr>
            <w:r>
              <w:rPr>
                <w:rFonts w:ascii="Arial" w:cs="Arial" w:eastAsia="Arial" w:hAnsi="Arial"/>
                <w:sz w:val="20"/>
                <w:szCs w:val="20"/>
                <w:color w:val="auto"/>
              </w:rPr>
              <w:t>Oklahoma</w:t>
            </w:r>
          </w:p>
        </w:tc>
        <w:tc>
          <w:tcPr>
            <w:tcW w:w="3380" w:type="dxa"/>
            <w:vAlign w:val="bottom"/>
          </w:tcPr>
          <w:p>
            <w:pPr>
              <w:ind w:left="440"/>
              <w:spacing w:after="0"/>
              <w:rPr>
                <w:sz w:val="20"/>
                <w:szCs w:val="20"/>
                <w:color w:val="auto"/>
              </w:rPr>
            </w:pPr>
            <w:r>
              <w:rPr>
                <w:rFonts w:ascii="Arial" w:cs="Arial" w:eastAsia="Arial" w:hAnsi="Arial"/>
                <w:sz w:val="20"/>
                <w:szCs w:val="20"/>
                <w:color w:val="auto"/>
              </w:rPr>
              <w:t>OI Analytical</w:t>
            </w: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PCI Membrane Systems, Inc.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Pension Trustee Management Ltd</w:t>
            </w:r>
          </w:p>
        </w:tc>
        <w:tc>
          <w:tcPr>
            <w:tcW w:w="3900" w:type="dxa"/>
            <w:vAlign w:val="bottom"/>
          </w:tcPr>
          <w:p>
            <w:pPr>
              <w:ind w:left="2080"/>
              <w:spacing w:after="0"/>
              <w:rPr>
                <w:sz w:val="20"/>
                <w:szCs w:val="20"/>
                <w:color w:val="auto"/>
              </w:rPr>
            </w:pPr>
            <w:r>
              <w:rPr>
                <w:rFonts w:ascii="Arial" w:cs="Arial" w:eastAsia="Arial" w:hAnsi="Arial"/>
                <w:sz w:val="20"/>
                <w:szCs w:val="20"/>
                <w:color w:val="auto"/>
              </w:rPr>
              <w:t>England &amp; Wales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Pipeline Technologies Philippines Corp</w:t>
            </w:r>
          </w:p>
        </w:tc>
        <w:tc>
          <w:tcPr>
            <w:tcW w:w="3900" w:type="dxa"/>
            <w:vAlign w:val="bottom"/>
          </w:tcPr>
          <w:p>
            <w:pPr>
              <w:ind w:left="2080"/>
              <w:spacing w:after="0"/>
              <w:rPr>
                <w:sz w:val="20"/>
                <w:szCs w:val="20"/>
                <w:color w:val="auto"/>
              </w:rPr>
            </w:pPr>
            <w:r>
              <w:rPr>
                <w:rFonts w:ascii="Arial" w:cs="Arial" w:eastAsia="Arial" w:hAnsi="Arial"/>
                <w:sz w:val="20"/>
                <w:szCs w:val="20"/>
                <w:color w:val="auto"/>
              </w:rPr>
              <w:t>Philippines</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Portacel Inc.</w:t>
            </w:r>
          </w:p>
        </w:tc>
        <w:tc>
          <w:tcPr>
            <w:tcW w:w="3900" w:type="dxa"/>
            <w:vAlign w:val="bottom"/>
          </w:tcPr>
          <w:p>
            <w:pPr>
              <w:ind w:left="2080"/>
              <w:spacing w:after="0"/>
              <w:rPr>
                <w:sz w:val="20"/>
                <w:szCs w:val="20"/>
                <w:color w:val="auto"/>
              </w:rPr>
            </w:pPr>
            <w:r>
              <w:rPr>
                <w:rFonts w:ascii="Arial" w:cs="Arial" w:eastAsia="Arial" w:hAnsi="Arial"/>
                <w:sz w:val="20"/>
                <w:szCs w:val="20"/>
                <w:color w:val="auto"/>
              </w:rPr>
              <w:t>Pennsylvania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PT Xylem Water Solutions Indonesia</w:t>
            </w:r>
          </w:p>
        </w:tc>
        <w:tc>
          <w:tcPr>
            <w:tcW w:w="3900" w:type="dxa"/>
            <w:vAlign w:val="bottom"/>
          </w:tcPr>
          <w:p>
            <w:pPr>
              <w:ind w:left="2080"/>
              <w:spacing w:after="0"/>
              <w:rPr>
                <w:sz w:val="20"/>
                <w:szCs w:val="20"/>
                <w:color w:val="auto"/>
              </w:rPr>
            </w:pPr>
            <w:r>
              <w:rPr>
                <w:rFonts w:ascii="Arial" w:cs="Arial" w:eastAsia="Arial" w:hAnsi="Arial"/>
                <w:sz w:val="20"/>
                <w:szCs w:val="20"/>
                <w:color w:val="auto"/>
              </w:rPr>
              <w:t>Indonesia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Pure Holding Inc.</w:t>
            </w:r>
          </w:p>
        </w:tc>
        <w:tc>
          <w:tcPr>
            <w:tcW w:w="3900" w:type="dxa"/>
            <w:vAlign w:val="bottom"/>
          </w:tcPr>
          <w:p>
            <w:pPr>
              <w:ind w:left="2080"/>
              <w:spacing w:after="0"/>
              <w:rPr>
                <w:sz w:val="20"/>
                <w:szCs w:val="20"/>
                <w:color w:val="auto"/>
              </w:rPr>
            </w:pPr>
            <w:r>
              <w:rPr>
                <w:rFonts w:ascii="Arial" w:cs="Arial" w:eastAsia="Arial" w:hAnsi="Arial"/>
                <w:sz w:val="20"/>
                <w:szCs w:val="20"/>
                <w:color w:val="auto"/>
              </w:rPr>
              <w:t>Delaware</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rPr>
              <w:t>Pure Inspection Technologies SA DE CV</w:t>
            </w:r>
          </w:p>
        </w:tc>
        <w:tc>
          <w:tcPr>
            <w:tcW w:w="3900" w:type="dxa"/>
            <w:vAlign w:val="bottom"/>
          </w:tcPr>
          <w:p>
            <w:pPr>
              <w:ind w:left="2080"/>
              <w:spacing w:after="0"/>
              <w:rPr>
                <w:sz w:val="20"/>
                <w:szCs w:val="20"/>
                <w:color w:val="auto"/>
              </w:rPr>
            </w:pPr>
            <w:r>
              <w:rPr>
                <w:rFonts w:ascii="Arial" w:cs="Arial" w:eastAsia="Arial" w:hAnsi="Arial"/>
                <w:sz w:val="20"/>
                <w:szCs w:val="20"/>
                <w:color w:val="auto"/>
              </w:rPr>
              <w:t>Mexico</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60" w:type="dxa"/>
            <w:vAlign w:val="bottom"/>
          </w:tcPr>
          <w:p>
            <w:pPr>
              <w:spacing w:after="0"/>
              <w:rPr>
                <w:sz w:val="20"/>
                <w:szCs w:val="20"/>
                <w:color w:val="auto"/>
              </w:rPr>
            </w:pPr>
            <w:r>
              <w:rPr>
                <w:rFonts w:ascii="Arial" w:cs="Arial" w:eastAsia="Arial" w:hAnsi="Arial"/>
                <w:sz w:val="20"/>
                <w:szCs w:val="20"/>
                <w:color w:val="auto"/>
                <w:w w:val="93"/>
              </w:rPr>
              <w:t>Pure Inspection Technologies Services DE CV</w:t>
            </w:r>
          </w:p>
        </w:tc>
        <w:tc>
          <w:tcPr>
            <w:tcW w:w="3900" w:type="dxa"/>
            <w:vAlign w:val="bottom"/>
          </w:tcPr>
          <w:p>
            <w:pPr>
              <w:ind w:left="2080"/>
              <w:spacing w:after="0"/>
              <w:rPr>
                <w:sz w:val="20"/>
                <w:szCs w:val="20"/>
                <w:color w:val="auto"/>
              </w:rPr>
            </w:pPr>
            <w:r>
              <w:rPr>
                <w:rFonts w:ascii="Arial" w:cs="Arial" w:eastAsia="Arial" w:hAnsi="Arial"/>
                <w:sz w:val="20"/>
                <w:szCs w:val="20"/>
                <w:color w:val="auto"/>
              </w:rPr>
              <w:t>Mexico</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20"/>
                <w:szCs w:val="20"/>
                <w:color w:val="auto"/>
              </w:rPr>
              <w:t>Pure Technologies (Aus) Pty Ltd.</w:t>
            </w:r>
          </w:p>
        </w:tc>
        <w:tc>
          <w:tcPr>
            <w:tcW w:w="3900" w:type="dxa"/>
            <w:vAlign w:val="bottom"/>
          </w:tcPr>
          <w:p>
            <w:pPr>
              <w:ind w:left="2080"/>
              <w:spacing w:after="0"/>
              <w:rPr>
                <w:sz w:val="20"/>
                <w:szCs w:val="20"/>
                <w:color w:val="auto"/>
              </w:rPr>
            </w:pPr>
            <w:r>
              <w:rPr>
                <w:rFonts w:ascii="Arial" w:cs="Arial" w:eastAsia="Arial" w:hAnsi="Arial"/>
                <w:sz w:val="20"/>
                <w:szCs w:val="20"/>
                <w:color w:val="auto"/>
              </w:rPr>
              <w:t>Australia</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60"/>
        <w:spacing w:after="0" w:line="238"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23" w:right="339" w:bottom="1440" w:gutter="0" w:footer="0" w:header="0"/>
        </w:sectPr>
      </w:pPr>
    </w:p>
    <w:bookmarkStart w:id="119" w:name="page120"/>
    <w:bookmarkEnd w:id="119"/>
    <w:tbl>
      <w:tblPr>
        <w:tblLayout w:type="fixed"/>
        <w:tblInd w:w="100" w:type="dxa"/>
        <w:tblCellMar>
          <w:top w:w="0" w:type="dxa"/>
          <w:left w:w="0" w:type="dxa"/>
          <w:bottom w:w="0" w:type="dxa"/>
          <w:right w:w="0" w:type="dxa"/>
        </w:tblCellMar>
      </w:tblPr>
      <w:tr>
        <w:trPr>
          <w:trHeight w:val="230"/>
        </w:trPr>
        <w:tc>
          <w:tcPr>
            <w:tcW w:w="474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3200" w:type="dxa"/>
            <w:vAlign w:val="bottom"/>
            <w:vMerge w:val="restart"/>
          </w:tcPr>
          <w:p>
            <w:pPr>
              <w:ind w:left="1200"/>
              <w:spacing w:after="0"/>
              <w:rPr>
                <w:sz w:val="20"/>
                <w:szCs w:val="20"/>
                <w:color w:val="auto"/>
              </w:rPr>
            </w:pPr>
            <w:r>
              <w:rPr>
                <w:rFonts w:ascii="Arial" w:cs="Arial" w:eastAsia="Arial" w:hAnsi="Arial"/>
                <w:sz w:val="20"/>
                <w:szCs w:val="20"/>
                <w:b w:val="1"/>
                <w:bCs w:val="1"/>
                <w:color w:val="auto"/>
              </w:rPr>
              <w:t>Jurisdiction</w:t>
            </w: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w w:val="90"/>
              </w:rPr>
              <w:t>Name Under Which Doing</w:t>
            </w:r>
          </w:p>
        </w:tc>
        <w:tc>
          <w:tcPr>
            <w:tcW w:w="0" w:type="dxa"/>
            <w:vAlign w:val="bottom"/>
          </w:tcPr>
          <w:p>
            <w:pPr>
              <w:spacing w:after="0"/>
              <w:rPr>
                <w:sz w:val="1"/>
                <w:szCs w:val="1"/>
                <w:color w:val="auto"/>
              </w:rPr>
            </w:pPr>
          </w:p>
        </w:tc>
      </w:tr>
      <w:tr>
        <w:trPr>
          <w:trHeight w:val="238"/>
        </w:trPr>
        <w:tc>
          <w:tcPr>
            <w:tcW w:w="4740" w:type="dxa"/>
            <w:vAlign w:val="bottom"/>
            <w:vMerge w:val="continue"/>
          </w:tcPr>
          <w:p>
            <w:pPr>
              <w:spacing w:after="0"/>
              <w:rPr>
                <w:sz w:val="20"/>
                <w:szCs w:val="20"/>
                <w:color w:val="auto"/>
              </w:rPr>
            </w:pPr>
          </w:p>
        </w:tc>
        <w:tc>
          <w:tcPr>
            <w:tcW w:w="3200" w:type="dxa"/>
            <w:vAlign w:val="bottom"/>
            <w:vMerge w:val="continue"/>
          </w:tcPr>
          <w:p>
            <w:pPr>
              <w:spacing w:after="0"/>
              <w:rPr>
                <w:sz w:val="20"/>
                <w:szCs w:val="20"/>
                <w:color w:val="auto"/>
              </w:rPr>
            </w:pP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(China) Ltd.</w:t>
            </w:r>
          </w:p>
        </w:tc>
        <w:tc>
          <w:tcPr>
            <w:tcW w:w="3200" w:type="dxa"/>
            <w:vAlign w:val="bottom"/>
          </w:tcPr>
          <w:p>
            <w:pPr>
              <w:ind w:left="1200"/>
              <w:spacing w:after="0"/>
              <w:rPr>
                <w:sz w:val="20"/>
                <w:szCs w:val="20"/>
                <w:color w:val="auto"/>
              </w:rPr>
            </w:pPr>
            <w:r>
              <w:rPr>
                <w:rFonts w:ascii="Arial" w:cs="Arial" w:eastAsia="Arial" w:hAnsi="Arial"/>
                <w:sz w:val="20"/>
                <w:szCs w:val="20"/>
                <w:color w:val="auto"/>
              </w:rPr>
              <w:t>Hong Kong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(UK) Ltd.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Abu Dhabi</w:t>
            </w:r>
          </w:p>
        </w:tc>
        <w:tc>
          <w:tcPr>
            <w:tcW w:w="3200" w:type="dxa"/>
            <w:vAlign w:val="bottom"/>
          </w:tcPr>
          <w:p>
            <w:pPr>
              <w:ind w:left="1200"/>
              <w:spacing w:after="0"/>
              <w:rPr>
                <w:sz w:val="20"/>
                <w:szCs w:val="20"/>
                <w:color w:val="auto"/>
              </w:rPr>
            </w:pPr>
            <w:r>
              <w:rPr>
                <w:rFonts w:ascii="Arial" w:cs="Arial" w:eastAsia="Arial" w:hAnsi="Arial"/>
                <w:sz w:val="20"/>
                <w:szCs w:val="20"/>
                <w:color w:val="auto"/>
              </w:rPr>
              <w:t>United Arab Emirates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Canada Ltd.</w:t>
            </w:r>
          </w:p>
        </w:tc>
        <w:tc>
          <w:tcPr>
            <w:tcW w:w="320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Ltd.</w:t>
            </w:r>
          </w:p>
        </w:tc>
        <w:tc>
          <w:tcPr>
            <w:tcW w:w="320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 Technologies U.S. Inc.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ind w:left="260"/>
              <w:spacing w:after="0"/>
              <w:rPr>
                <w:sz w:val="20"/>
                <w:szCs w:val="20"/>
                <w:color w:val="auto"/>
              </w:rPr>
            </w:pPr>
            <w:r>
              <w:rPr>
                <w:rFonts w:ascii="Arial" w:cs="Arial" w:eastAsia="Arial" w:hAnsi="Arial"/>
                <w:sz w:val="20"/>
                <w:szCs w:val="20"/>
                <w:color w:val="auto"/>
              </w:rPr>
              <w:t>Wachs Water Services</w:t>
            </w: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PureHM Inc.</w:t>
            </w:r>
          </w:p>
        </w:tc>
        <w:tc>
          <w:tcPr>
            <w:tcW w:w="3200" w:type="dxa"/>
            <w:vAlign w:val="bottom"/>
          </w:tcPr>
          <w:p>
            <w:pPr>
              <w:ind w:left="1200"/>
              <w:spacing w:after="0"/>
              <w:rPr>
                <w:sz w:val="20"/>
                <w:szCs w:val="20"/>
                <w:color w:val="auto"/>
              </w:rPr>
            </w:pPr>
            <w:r>
              <w:rPr>
                <w:rFonts w:ascii="Arial" w:cs="Arial" w:eastAsia="Arial" w:hAnsi="Arial"/>
                <w:sz w:val="20"/>
                <w:szCs w:val="20"/>
                <w:color w:val="auto"/>
              </w:rPr>
              <w:t>Alberta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PureHM U.S. Inc.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(UK Holdings) Ltd.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Sensus Canada Inc.</w:t>
            </w:r>
          </w:p>
        </w:tc>
        <w:tc>
          <w:tcPr>
            <w:tcW w:w="3200" w:type="dxa"/>
            <w:vAlign w:val="bottom"/>
          </w:tcPr>
          <w:p>
            <w:pPr>
              <w:ind w:left="1200"/>
              <w:spacing w:after="0"/>
              <w:rPr>
                <w:sz w:val="20"/>
                <w:szCs w:val="20"/>
                <w:color w:val="auto"/>
              </w:rPr>
            </w:pPr>
            <w:r>
              <w:rPr>
                <w:rFonts w:ascii="Arial" w:cs="Arial" w:eastAsia="Arial" w:hAnsi="Arial"/>
                <w:sz w:val="20"/>
                <w:szCs w:val="20"/>
                <w:color w:val="auto"/>
              </w:rPr>
              <w:t>Canada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Arial" w:cs="Arial" w:eastAsia="Arial" w:hAnsi="Arial"/>
                <w:sz w:val="20"/>
                <w:szCs w:val="20"/>
                <w:color w:val="auto"/>
              </w:rPr>
              <w:t>Sensus de Mexico, S de RL de CV</w:t>
            </w:r>
          </w:p>
        </w:tc>
        <w:tc>
          <w:tcPr>
            <w:tcW w:w="3200" w:type="dxa"/>
            <w:vAlign w:val="bottom"/>
          </w:tcPr>
          <w:p>
            <w:pPr>
              <w:ind w:left="1200"/>
              <w:spacing w:after="0"/>
              <w:rPr>
                <w:sz w:val="20"/>
                <w:szCs w:val="20"/>
                <w:color w:val="auto"/>
              </w:rPr>
            </w:pPr>
            <w:r>
              <w:rPr>
                <w:rFonts w:ascii="Arial" w:cs="Arial" w:eastAsia="Arial" w:hAnsi="Arial"/>
                <w:sz w:val="20"/>
                <w:szCs w:val="20"/>
                <w:color w:val="auto"/>
              </w:rPr>
              <w:t>Mexico</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España SA (Spain)</w:t>
            </w:r>
          </w:p>
        </w:tc>
        <w:tc>
          <w:tcPr>
            <w:tcW w:w="3200" w:type="dxa"/>
            <w:vAlign w:val="bottom"/>
          </w:tcPr>
          <w:p>
            <w:pPr>
              <w:ind w:left="1200"/>
              <w:spacing w:after="0"/>
              <w:rPr>
                <w:sz w:val="20"/>
                <w:szCs w:val="20"/>
                <w:color w:val="auto"/>
              </w:rPr>
            </w:pPr>
            <w:r>
              <w:rPr>
                <w:rFonts w:ascii="Arial" w:cs="Arial" w:eastAsia="Arial" w:hAnsi="Arial"/>
                <w:sz w:val="20"/>
                <w:szCs w:val="20"/>
                <w:color w:val="auto"/>
              </w:rPr>
              <w:t>Spain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France Holdings SAS</w:t>
            </w:r>
          </w:p>
        </w:tc>
        <w:tc>
          <w:tcPr>
            <w:tcW w:w="3200" w:type="dxa"/>
            <w:vAlign w:val="bottom"/>
          </w:tcPr>
          <w:p>
            <w:pPr>
              <w:ind w:left="120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France SAS</w:t>
            </w:r>
          </w:p>
        </w:tc>
        <w:tc>
          <w:tcPr>
            <w:tcW w:w="3200" w:type="dxa"/>
            <w:vAlign w:val="bottom"/>
          </w:tcPr>
          <w:p>
            <w:pPr>
              <w:ind w:left="120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GmbH Hannover</w:t>
            </w:r>
          </w:p>
        </w:tc>
        <w:tc>
          <w:tcPr>
            <w:tcW w:w="320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GmbH Ludwigshafen</w:t>
            </w:r>
          </w:p>
        </w:tc>
        <w:tc>
          <w:tcPr>
            <w:tcW w:w="320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Italia S.R.L.</w:t>
            </w:r>
          </w:p>
        </w:tc>
        <w:tc>
          <w:tcPr>
            <w:tcW w:w="3200" w:type="dxa"/>
            <w:vAlign w:val="bottom"/>
          </w:tcPr>
          <w:p>
            <w:pPr>
              <w:ind w:left="1200"/>
              <w:spacing w:after="0"/>
              <w:rPr>
                <w:sz w:val="20"/>
                <w:szCs w:val="20"/>
                <w:color w:val="auto"/>
              </w:rPr>
            </w:pPr>
            <w:r>
              <w:rPr>
                <w:rFonts w:ascii="Arial" w:cs="Arial" w:eastAsia="Arial" w:hAnsi="Arial"/>
                <w:sz w:val="20"/>
                <w:szCs w:val="20"/>
                <w:color w:val="auto"/>
              </w:rPr>
              <w:t>Italy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Japan K.K</w:t>
            </w:r>
          </w:p>
        </w:tc>
        <w:tc>
          <w:tcPr>
            <w:tcW w:w="3200" w:type="dxa"/>
            <w:vAlign w:val="bottom"/>
          </w:tcPr>
          <w:p>
            <w:pPr>
              <w:ind w:left="1200"/>
              <w:spacing w:after="0"/>
              <w:rPr>
                <w:sz w:val="20"/>
                <w:szCs w:val="20"/>
                <w:color w:val="auto"/>
              </w:rPr>
            </w:pPr>
            <w:r>
              <w:rPr>
                <w:rFonts w:ascii="Arial" w:cs="Arial" w:eastAsia="Arial" w:hAnsi="Arial"/>
                <w:sz w:val="20"/>
                <w:szCs w:val="20"/>
                <w:color w:val="auto"/>
              </w:rPr>
              <w:t>Japan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Maroc SA</w:t>
            </w:r>
          </w:p>
        </w:tc>
        <w:tc>
          <w:tcPr>
            <w:tcW w:w="3200" w:type="dxa"/>
            <w:vAlign w:val="bottom"/>
          </w:tcPr>
          <w:p>
            <w:pPr>
              <w:ind w:left="1200"/>
              <w:spacing w:after="0"/>
              <w:rPr>
                <w:sz w:val="20"/>
                <w:szCs w:val="20"/>
                <w:color w:val="auto"/>
              </w:rPr>
            </w:pPr>
            <w:r>
              <w:rPr>
                <w:rFonts w:ascii="Arial" w:cs="Arial" w:eastAsia="Arial" w:hAnsi="Arial"/>
                <w:sz w:val="20"/>
                <w:szCs w:val="20"/>
                <w:color w:val="auto"/>
              </w:rPr>
              <w:t>Morocco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Sensus Metering Systems (Fuzhou) Co., Ltd.</w:t>
            </w:r>
          </w:p>
        </w:tc>
        <w:tc>
          <w:tcPr>
            <w:tcW w:w="3200" w:type="dxa"/>
            <w:vAlign w:val="bottom"/>
          </w:tcPr>
          <w:p>
            <w:pPr>
              <w:ind w:left="120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740" w:type="dxa"/>
            <w:vAlign w:val="bottom"/>
          </w:tcPr>
          <w:p>
            <w:pPr>
              <w:spacing w:after="0"/>
              <w:rPr>
                <w:sz w:val="20"/>
                <w:szCs w:val="20"/>
                <w:color w:val="auto"/>
              </w:rPr>
            </w:pPr>
            <w:r>
              <w:rPr>
                <w:rFonts w:ascii="Arial" w:cs="Arial" w:eastAsia="Arial" w:hAnsi="Arial"/>
                <w:sz w:val="20"/>
                <w:szCs w:val="20"/>
                <w:color w:val="auto"/>
              </w:rPr>
              <w:t>Sensus Metering Systems (LuxCo 2) S.àr.l</w:t>
            </w:r>
          </w:p>
        </w:tc>
        <w:tc>
          <w:tcPr>
            <w:tcW w:w="3200" w:type="dxa"/>
            <w:vAlign w:val="bottom"/>
          </w:tcPr>
          <w:p>
            <w:pPr>
              <w:ind w:left="120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0"/>
                <w:szCs w:val="20"/>
                <w:color w:val="auto"/>
              </w:rPr>
            </w:pPr>
            <w:r>
              <w:rPr>
                <w:rFonts w:ascii="Arial" w:cs="Arial" w:eastAsia="Arial" w:hAnsi="Arial"/>
                <w:sz w:val="20"/>
                <w:szCs w:val="20"/>
                <w:color w:val="auto"/>
              </w:rPr>
              <w:t>Sensus Metering Systems (LuxCo 3) S.àr.l</w:t>
            </w:r>
          </w:p>
        </w:tc>
        <w:tc>
          <w:tcPr>
            <w:tcW w:w="3200" w:type="dxa"/>
            <w:vAlign w:val="bottom"/>
          </w:tcPr>
          <w:p>
            <w:pPr>
              <w:ind w:left="120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Metering Systems do Brasil Ltda</w:t>
            </w:r>
          </w:p>
        </w:tc>
        <w:tc>
          <w:tcPr>
            <w:tcW w:w="3200" w:type="dxa"/>
            <w:vAlign w:val="bottom"/>
          </w:tcPr>
          <w:p>
            <w:pPr>
              <w:ind w:left="1200"/>
              <w:spacing w:after="0"/>
              <w:rPr>
                <w:sz w:val="20"/>
                <w:szCs w:val="20"/>
                <w:color w:val="auto"/>
              </w:rPr>
            </w:pPr>
            <w:r>
              <w:rPr>
                <w:rFonts w:ascii="Arial" w:cs="Arial" w:eastAsia="Arial" w:hAnsi="Arial"/>
                <w:sz w:val="20"/>
                <w:szCs w:val="20"/>
                <w:color w:val="auto"/>
              </w:rPr>
              <w:t>Brazil</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Metering Systems IP Holdings, Inc.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metrologicke sluzby s.r.o._Slovakia</w:t>
            </w:r>
          </w:p>
        </w:tc>
        <w:tc>
          <w:tcPr>
            <w:tcW w:w="3200" w:type="dxa"/>
            <w:vAlign w:val="bottom"/>
          </w:tcPr>
          <w:p>
            <w:pPr>
              <w:ind w:left="1200"/>
              <w:spacing w:after="0"/>
              <w:rPr>
                <w:sz w:val="20"/>
                <w:szCs w:val="20"/>
                <w:color w:val="auto"/>
              </w:rPr>
            </w:pPr>
            <w:r>
              <w:rPr>
                <w:rFonts w:ascii="Arial" w:cs="Arial" w:eastAsia="Arial" w:hAnsi="Arial"/>
                <w:sz w:val="20"/>
                <w:szCs w:val="20"/>
                <w:color w:val="auto"/>
              </w:rPr>
              <w:t>Slovak Republic</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Polska sp. zoo</w:t>
            </w:r>
          </w:p>
        </w:tc>
        <w:tc>
          <w:tcPr>
            <w:tcW w:w="3200" w:type="dxa"/>
            <w:vAlign w:val="bottom"/>
          </w:tcPr>
          <w:p>
            <w:pPr>
              <w:ind w:left="1200"/>
              <w:spacing w:after="0"/>
              <w:rPr>
                <w:sz w:val="20"/>
                <w:szCs w:val="20"/>
                <w:color w:val="auto"/>
              </w:rPr>
            </w:pPr>
            <w:r>
              <w:rPr>
                <w:rFonts w:ascii="Arial" w:cs="Arial" w:eastAsia="Arial" w:hAnsi="Arial"/>
                <w:sz w:val="20"/>
                <w:szCs w:val="20"/>
                <w:color w:val="auto"/>
              </w:rPr>
              <w:t>Poland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Services Deutschland GmbH</w:t>
            </w:r>
          </w:p>
        </w:tc>
        <w:tc>
          <w:tcPr>
            <w:tcW w:w="3200" w:type="dxa"/>
            <w:vAlign w:val="bottom"/>
          </w:tcPr>
          <w:p>
            <w:pPr>
              <w:ind w:left="120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Slovensko a.s.</w:t>
            </w:r>
          </w:p>
        </w:tc>
        <w:tc>
          <w:tcPr>
            <w:tcW w:w="3200" w:type="dxa"/>
            <w:vAlign w:val="bottom"/>
          </w:tcPr>
          <w:p>
            <w:pPr>
              <w:ind w:left="1200"/>
              <w:spacing w:after="0"/>
              <w:rPr>
                <w:sz w:val="20"/>
                <w:szCs w:val="20"/>
                <w:color w:val="auto"/>
              </w:rPr>
            </w:pPr>
            <w:r>
              <w:rPr>
                <w:rFonts w:ascii="Arial" w:cs="Arial" w:eastAsia="Arial" w:hAnsi="Arial"/>
                <w:sz w:val="20"/>
                <w:szCs w:val="20"/>
                <w:color w:val="auto"/>
              </w:rPr>
              <w:t>Slovak Republic</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South Africa (Proprietary) Ltd.</w:t>
            </w:r>
          </w:p>
        </w:tc>
        <w:tc>
          <w:tcPr>
            <w:tcW w:w="3200" w:type="dxa"/>
            <w:vAlign w:val="bottom"/>
          </w:tcPr>
          <w:p>
            <w:pPr>
              <w:ind w:left="1200"/>
              <w:spacing w:after="0"/>
              <w:rPr>
                <w:sz w:val="20"/>
                <w:szCs w:val="20"/>
                <w:color w:val="auto"/>
              </w:rPr>
            </w:pPr>
            <w:r>
              <w:rPr>
                <w:rFonts w:ascii="Arial" w:cs="Arial" w:eastAsia="Arial" w:hAnsi="Arial"/>
                <w:sz w:val="20"/>
                <w:szCs w:val="20"/>
                <w:color w:val="auto"/>
              </w:rPr>
              <w:t>South Africa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SPA (Algeria)</w:t>
            </w:r>
          </w:p>
        </w:tc>
        <w:tc>
          <w:tcPr>
            <w:tcW w:w="3200" w:type="dxa"/>
            <w:vAlign w:val="bottom"/>
          </w:tcPr>
          <w:p>
            <w:pPr>
              <w:ind w:left="1200"/>
              <w:spacing w:after="0"/>
              <w:rPr>
                <w:sz w:val="20"/>
                <w:szCs w:val="20"/>
                <w:color w:val="auto"/>
              </w:rPr>
            </w:pPr>
            <w:r>
              <w:rPr>
                <w:rFonts w:ascii="Arial" w:cs="Arial" w:eastAsia="Arial" w:hAnsi="Arial"/>
                <w:sz w:val="20"/>
                <w:szCs w:val="20"/>
                <w:color w:val="auto"/>
              </w:rPr>
              <w:t>Algeria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Spectrum LLC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UK Systems Limited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Sensus USA Inc.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Sentec Limited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Smith-Blair, Inc.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Texas Turbine, LLC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ind w:left="260"/>
              <w:spacing w:after="0"/>
              <w:rPr>
                <w:sz w:val="20"/>
                <w:szCs w:val="20"/>
                <w:color w:val="auto"/>
              </w:rPr>
            </w:pPr>
            <w:r>
              <w:rPr>
                <w:rFonts w:ascii="Arial" w:cs="Arial" w:eastAsia="Arial" w:hAnsi="Arial"/>
                <w:sz w:val="20"/>
                <w:szCs w:val="20"/>
                <w:color w:val="auto"/>
                <w:w w:val="96"/>
              </w:rPr>
              <w:t>Xylem Texas Turbine LLC</w:t>
            </w: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Tideland Signal Corporation</w:t>
            </w:r>
          </w:p>
        </w:tc>
        <w:tc>
          <w:tcPr>
            <w:tcW w:w="3200" w:type="dxa"/>
            <w:vAlign w:val="bottom"/>
          </w:tcPr>
          <w:p>
            <w:pPr>
              <w:ind w:left="1200"/>
              <w:spacing w:after="0"/>
              <w:rPr>
                <w:sz w:val="20"/>
                <w:szCs w:val="20"/>
                <w:color w:val="auto"/>
              </w:rPr>
            </w:pPr>
            <w:r>
              <w:rPr>
                <w:rFonts w:ascii="Arial" w:cs="Arial" w:eastAsia="Arial" w:hAnsi="Arial"/>
                <w:sz w:val="20"/>
                <w:szCs w:val="20"/>
                <w:color w:val="auto"/>
              </w:rPr>
              <w:t>Texas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Tideland Signal Limited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40" w:type="dxa"/>
            <w:vAlign w:val="bottom"/>
          </w:tcPr>
          <w:p>
            <w:pPr>
              <w:spacing w:after="0"/>
              <w:rPr>
                <w:sz w:val="20"/>
                <w:szCs w:val="20"/>
                <w:color w:val="auto"/>
              </w:rPr>
            </w:pPr>
            <w:r>
              <w:rPr>
                <w:rFonts w:ascii="Arial" w:cs="Arial" w:eastAsia="Arial" w:hAnsi="Arial"/>
                <w:sz w:val="20"/>
                <w:szCs w:val="20"/>
                <w:color w:val="auto"/>
              </w:rPr>
              <w:t>Tideland Signal, LLC</w:t>
            </w:r>
          </w:p>
        </w:tc>
        <w:tc>
          <w:tcPr>
            <w:tcW w:w="3200" w:type="dxa"/>
            <w:vAlign w:val="bottom"/>
          </w:tcPr>
          <w:p>
            <w:pPr>
              <w:ind w:left="120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20"/>
                <w:szCs w:val="20"/>
                <w:color w:val="auto"/>
              </w:rPr>
              <w:t>UGI Global Ltd</w:t>
            </w:r>
          </w:p>
        </w:tc>
        <w:tc>
          <w:tcPr>
            <w:tcW w:w="3200" w:type="dxa"/>
            <w:vAlign w:val="bottom"/>
          </w:tcPr>
          <w:p>
            <w:pPr>
              <w:ind w:left="120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0980"/>
          </w:cols>
          <w:pgMar w:left="320" w:top="931" w:right="599" w:bottom="1440" w:gutter="0" w:footer="0" w:header="0"/>
        </w:sectPr>
      </w:pPr>
    </w:p>
    <w:bookmarkStart w:id="120" w:name="page121"/>
    <w:bookmarkEnd w:id="120"/>
    <w:tbl>
      <w:tblPr>
        <w:tblLayout w:type="fixed"/>
        <w:tblInd w:w="10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940" w:type="dxa"/>
            <w:vAlign w:val="bottom"/>
            <w:vMerge w:val="restart"/>
          </w:tcPr>
          <w:p>
            <w:pPr>
              <w:ind w:left="940"/>
              <w:spacing w:after="0"/>
              <w:rPr>
                <w:sz w:val="20"/>
                <w:szCs w:val="20"/>
                <w:color w:val="auto"/>
              </w:rPr>
            </w:pPr>
            <w:r>
              <w:rPr>
                <w:rFonts w:ascii="Arial" w:cs="Arial" w:eastAsia="Arial" w:hAnsi="Arial"/>
                <w:sz w:val="20"/>
                <w:szCs w:val="20"/>
                <w:b w:val="1"/>
                <w:bCs w:val="1"/>
                <w:color w:val="auto"/>
              </w:rPr>
              <w:t>Jurisdiction</w:t>
            </w: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w w:val="90"/>
              </w:rPr>
              <w:t>Name Under Which Doing</w:t>
            </w:r>
          </w:p>
        </w:tc>
        <w:tc>
          <w:tcPr>
            <w:tcW w:w="0" w:type="dxa"/>
            <w:vAlign w:val="bottom"/>
          </w:tcPr>
          <w:p>
            <w:pPr>
              <w:spacing w:after="0"/>
              <w:rPr>
                <w:sz w:val="1"/>
                <w:szCs w:val="1"/>
                <w:color w:val="auto"/>
              </w:rPr>
            </w:pPr>
          </w:p>
        </w:tc>
      </w:tr>
      <w:tr>
        <w:trPr>
          <w:trHeight w:val="238"/>
        </w:trPr>
        <w:tc>
          <w:tcPr>
            <w:tcW w:w="500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Water Asset Management, Inc.</w:t>
            </w:r>
          </w:p>
        </w:tc>
        <w:tc>
          <w:tcPr>
            <w:tcW w:w="2940" w:type="dxa"/>
            <w:vAlign w:val="bottom"/>
          </w:tcPr>
          <w:p>
            <w:pPr>
              <w:ind w:left="94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Water Process Ltd</w:t>
            </w:r>
          </w:p>
        </w:tc>
        <w:tc>
          <w:tcPr>
            <w:tcW w:w="2940" w:type="dxa"/>
            <w:vAlign w:val="bottom"/>
          </w:tcPr>
          <w:p>
            <w:pPr>
              <w:ind w:left="94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0"/>
                <w:szCs w:val="20"/>
                <w:color w:val="auto"/>
              </w:rPr>
            </w:pPr>
            <w:r>
              <w:rPr>
                <w:rFonts w:ascii="Arial" w:cs="Arial" w:eastAsia="Arial" w:hAnsi="Arial"/>
                <w:sz w:val="20"/>
                <w:szCs w:val="20"/>
                <w:color w:val="auto"/>
              </w:rPr>
              <w:t>Xylem (Beijing) Technology Co. Ltd</w:t>
            </w:r>
          </w:p>
        </w:tc>
        <w:tc>
          <w:tcPr>
            <w:tcW w:w="2940" w:type="dxa"/>
            <w:vAlign w:val="bottom"/>
          </w:tcPr>
          <w:p>
            <w:pPr>
              <w:ind w:left="94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(China) Company Limited</w:t>
            </w:r>
          </w:p>
        </w:tc>
        <w:tc>
          <w:tcPr>
            <w:tcW w:w="2940" w:type="dxa"/>
            <w:vAlign w:val="bottom"/>
          </w:tcPr>
          <w:p>
            <w:pPr>
              <w:ind w:left="94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(Hong Kong) Limited</w:t>
            </w:r>
          </w:p>
        </w:tc>
        <w:tc>
          <w:tcPr>
            <w:tcW w:w="2940" w:type="dxa"/>
            <w:vAlign w:val="bottom"/>
          </w:tcPr>
          <w:p>
            <w:pPr>
              <w:ind w:left="940"/>
              <w:spacing w:after="0"/>
              <w:rPr>
                <w:sz w:val="20"/>
                <w:szCs w:val="20"/>
                <w:color w:val="auto"/>
              </w:rPr>
            </w:pPr>
            <w:r>
              <w:rPr>
                <w:rFonts w:ascii="Arial" w:cs="Arial" w:eastAsia="Arial" w:hAnsi="Arial"/>
                <w:sz w:val="20"/>
                <w:szCs w:val="20"/>
                <w:color w:val="auto"/>
              </w:rPr>
              <w:t>Hong Kong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(Nanjing) Co., Ltd</w:t>
            </w:r>
          </w:p>
        </w:tc>
        <w:tc>
          <w:tcPr>
            <w:tcW w:w="2940" w:type="dxa"/>
            <w:vAlign w:val="bottom"/>
          </w:tcPr>
          <w:p>
            <w:pPr>
              <w:ind w:left="94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Beijing Co., Ltd.</w:t>
            </w:r>
          </w:p>
        </w:tc>
        <w:tc>
          <w:tcPr>
            <w:tcW w:w="2940" w:type="dxa"/>
            <w:vAlign w:val="bottom"/>
          </w:tcPr>
          <w:p>
            <w:pPr>
              <w:ind w:left="94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France S.A.S.</w:t>
            </w:r>
          </w:p>
        </w:tc>
        <w:tc>
          <w:tcPr>
            <w:tcW w:w="2940" w:type="dxa"/>
            <w:vAlign w:val="bottom"/>
          </w:tcPr>
          <w:p>
            <w:pPr>
              <w:ind w:left="94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Germany GmbH</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Germany Sales GmbH &amp; Co. KG</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IP GmbH &amp; Co. KG</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IP Management GmbH</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LLC</w:t>
            </w:r>
          </w:p>
        </w:tc>
        <w:tc>
          <w:tcPr>
            <w:tcW w:w="2940" w:type="dxa"/>
            <w:vAlign w:val="bottom"/>
          </w:tcPr>
          <w:p>
            <w:pPr>
              <w:ind w:left="94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Analytics UK Limited</w:t>
            </w:r>
          </w:p>
        </w:tc>
        <w:tc>
          <w:tcPr>
            <w:tcW w:w="2940" w:type="dxa"/>
            <w:vAlign w:val="bottom"/>
          </w:tcPr>
          <w:p>
            <w:pPr>
              <w:ind w:left="94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Australia Holdings PTY LTD</w:t>
            </w:r>
          </w:p>
        </w:tc>
        <w:tc>
          <w:tcPr>
            <w:tcW w:w="2940" w:type="dxa"/>
            <w:vAlign w:val="bottom"/>
          </w:tcPr>
          <w:p>
            <w:pPr>
              <w:ind w:left="940"/>
              <w:spacing w:after="0"/>
              <w:rPr>
                <w:sz w:val="20"/>
                <w:szCs w:val="20"/>
                <w:color w:val="auto"/>
              </w:rPr>
            </w:pPr>
            <w:r>
              <w:rPr>
                <w:rFonts w:ascii="Arial" w:cs="Arial" w:eastAsia="Arial" w:hAnsi="Arial"/>
                <w:sz w:val="20"/>
                <w:szCs w:val="20"/>
                <w:color w:val="auto"/>
              </w:rPr>
              <w:t>Australia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Brasil Soluções para Água Ltda</w:t>
            </w:r>
          </w:p>
        </w:tc>
        <w:tc>
          <w:tcPr>
            <w:tcW w:w="2940" w:type="dxa"/>
            <w:vAlign w:val="bottom"/>
          </w:tcPr>
          <w:p>
            <w:pPr>
              <w:ind w:left="940"/>
              <w:spacing w:after="0"/>
              <w:rPr>
                <w:sz w:val="20"/>
                <w:szCs w:val="20"/>
                <w:color w:val="auto"/>
              </w:rPr>
            </w:pPr>
            <w:r>
              <w:rPr>
                <w:rFonts w:ascii="Arial" w:cs="Arial" w:eastAsia="Arial" w:hAnsi="Arial"/>
                <w:sz w:val="20"/>
                <w:szCs w:val="20"/>
                <w:color w:val="auto"/>
              </w:rPr>
              <w:t>Brazil</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Canada GP ULC</w:t>
            </w:r>
          </w:p>
        </w:tc>
        <w:tc>
          <w:tcPr>
            <w:tcW w:w="2940" w:type="dxa"/>
            <w:vAlign w:val="bottom"/>
          </w:tcPr>
          <w:p>
            <w:pPr>
              <w:ind w:left="940"/>
              <w:spacing w:after="0"/>
              <w:rPr>
                <w:sz w:val="20"/>
                <w:szCs w:val="20"/>
                <w:color w:val="auto"/>
              </w:rPr>
            </w:pPr>
            <w:r>
              <w:rPr>
                <w:rFonts w:ascii="Arial" w:cs="Arial" w:eastAsia="Arial" w:hAnsi="Arial"/>
                <w:sz w:val="20"/>
                <w:szCs w:val="20"/>
                <w:color w:val="auto"/>
              </w:rPr>
              <w:t>Ontario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Canada LP</w:t>
            </w:r>
          </w:p>
        </w:tc>
        <w:tc>
          <w:tcPr>
            <w:tcW w:w="2940" w:type="dxa"/>
            <w:vAlign w:val="bottom"/>
          </w:tcPr>
          <w:p>
            <w:pPr>
              <w:ind w:left="940"/>
              <w:spacing w:after="0"/>
              <w:rPr>
                <w:sz w:val="20"/>
                <w:szCs w:val="20"/>
                <w:color w:val="auto"/>
              </w:rPr>
            </w:pPr>
            <w:r>
              <w:rPr>
                <w:rFonts w:ascii="Arial" w:cs="Arial" w:eastAsia="Arial" w:hAnsi="Arial"/>
                <w:sz w:val="20"/>
                <w:szCs w:val="20"/>
                <w:color w:val="auto"/>
              </w:rPr>
              <w:t>Ontario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Česká republika spol. s r.o.</w:t>
            </w:r>
          </w:p>
        </w:tc>
        <w:tc>
          <w:tcPr>
            <w:tcW w:w="2940" w:type="dxa"/>
            <w:vAlign w:val="bottom"/>
          </w:tcPr>
          <w:p>
            <w:pPr>
              <w:ind w:left="940"/>
              <w:spacing w:after="0"/>
              <w:rPr>
                <w:sz w:val="20"/>
                <w:szCs w:val="20"/>
                <w:color w:val="auto"/>
              </w:rPr>
            </w:pPr>
            <w:r>
              <w:rPr>
                <w:rFonts w:ascii="Arial" w:cs="Arial" w:eastAsia="Arial" w:hAnsi="Arial"/>
                <w:sz w:val="20"/>
                <w:szCs w:val="20"/>
                <w:color w:val="auto"/>
              </w:rPr>
              <w:t>Czech Republic</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Chihuahua S. de R.L. de C.V.</w:t>
            </w:r>
          </w:p>
        </w:tc>
        <w:tc>
          <w:tcPr>
            <w:tcW w:w="2940" w:type="dxa"/>
            <w:vAlign w:val="bottom"/>
          </w:tcPr>
          <w:p>
            <w:pPr>
              <w:ind w:left="940"/>
              <w:spacing w:after="0"/>
              <w:rPr>
                <w:sz w:val="20"/>
                <w:szCs w:val="20"/>
                <w:color w:val="auto"/>
              </w:rPr>
            </w:pPr>
            <w:r>
              <w:rPr>
                <w:rFonts w:ascii="Arial" w:cs="Arial" w:eastAsia="Arial" w:hAnsi="Arial"/>
                <w:sz w:val="20"/>
                <w:szCs w:val="20"/>
                <w:color w:val="auto"/>
              </w:rPr>
              <w:t>Mexico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Cote d'Ivoire</w:t>
            </w:r>
          </w:p>
        </w:tc>
        <w:tc>
          <w:tcPr>
            <w:tcW w:w="2940" w:type="dxa"/>
            <w:vAlign w:val="bottom"/>
          </w:tcPr>
          <w:p>
            <w:pPr>
              <w:ind w:left="940"/>
              <w:spacing w:after="0"/>
              <w:rPr>
                <w:sz w:val="20"/>
                <w:szCs w:val="20"/>
                <w:color w:val="auto"/>
              </w:rPr>
            </w:pPr>
            <w:r>
              <w:rPr>
                <w:rFonts w:ascii="Arial" w:cs="Arial" w:eastAsia="Arial" w:hAnsi="Arial"/>
                <w:sz w:val="20"/>
                <w:szCs w:val="20"/>
                <w:color w:val="auto"/>
              </w:rPr>
              <w:t>Ivory Coast</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Delaware, Inc.</w:t>
            </w:r>
          </w:p>
        </w:tc>
        <w:tc>
          <w:tcPr>
            <w:tcW w:w="2940" w:type="dxa"/>
            <w:vAlign w:val="bottom"/>
          </w:tcPr>
          <w:p>
            <w:pPr>
              <w:ind w:left="94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Denmark Holdings ApS</w:t>
            </w:r>
          </w:p>
        </w:tc>
        <w:tc>
          <w:tcPr>
            <w:tcW w:w="2940" w:type="dxa"/>
            <w:vAlign w:val="bottom"/>
          </w:tcPr>
          <w:p>
            <w:pPr>
              <w:ind w:left="940"/>
              <w:spacing w:after="0"/>
              <w:rPr>
                <w:sz w:val="20"/>
                <w:szCs w:val="20"/>
                <w:color w:val="auto"/>
              </w:rPr>
            </w:pPr>
            <w:r>
              <w:rPr>
                <w:rFonts w:ascii="Arial" w:cs="Arial" w:eastAsia="Arial" w:hAnsi="Arial"/>
                <w:sz w:val="20"/>
                <w:szCs w:val="20"/>
                <w:color w:val="auto"/>
              </w:rPr>
              <w:t>Denmark</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Dewatering Solutions UK Ltd</w:t>
            </w:r>
          </w:p>
        </w:tc>
        <w:tc>
          <w:tcPr>
            <w:tcW w:w="2940" w:type="dxa"/>
            <w:vAlign w:val="bottom"/>
          </w:tcPr>
          <w:p>
            <w:pPr>
              <w:ind w:left="94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Xylem Dewatering Solutions, Inc.</w:t>
            </w:r>
          </w:p>
        </w:tc>
        <w:tc>
          <w:tcPr>
            <w:tcW w:w="2940" w:type="dxa"/>
            <w:vAlign w:val="bottom"/>
          </w:tcPr>
          <w:p>
            <w:pPr>
              <w:ind w:left="940"/>
              <w:spacing w:after="0"/>
              <w:rPr>
                <w:sz w:val="20"/>
                <w:szCs w:val="20"/>
                <w:color w:val="auto"/>
              </w:rPr>
            </w:pPr>
            <w:r>
              <w:rPr>
                <w:rFonts w:ascii="Arial" w:cs="Arial" w:eastAsia="Arial" w:hAnsi="Arial"/>
                <w:sz w:val="20"/>
                <w:szCs w:val="20"/>
                <w:color w:val="auto"/>
              </w:rPr>
              <w:t>New Jersey</w:t>
            </w:r>
          </w:p>
        </w:tc>
        <w:tc>
          <w:tcPr>
            <w:tcW w:w="2500" w:type="dxa"/>
            <w:vAlign w:val="bottom"/>
          </w:tcPr>
          <w:p>
            <w:pPr>
              <w:ind w:left="260"/>
              <w:spacing w:after="0"/>
              <w:rPr>
                <w:sz w:val="20"/>
                <w:szCs w:val="20"/>
                <w:color w:val="auto"/>
              </w:rPr>
            </w:pPr>
            <w:r>
              <w:rPr>
                <w:rFonts w:ascii="Arial" w:cs="Arial" w:eastAsia="Arial" w:hAnsi="Arial"/>
                <w:sz w:val="20"/>
                <w:szCs w:val="20"/>
                <w:color w:val="auto"/>
                <w:w w:val="93"/>
              </w:rPr>
              <w:t>Godwin Pumps of America</w:t>
            </w: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Arial" w:cs="Arial" w:eastAsia="Arial" w:hAnsi="Arial"/>
                <w:sz w:val="20"/>
                <w:szCs w:val="20"/>
                <w:color w:val="auto"/>
              </w:rPr>
              <w:t>Xylem Egypt LLC</w:t>
            </w:r>
          </w:p>
        </w:tc>
        <w:tc>
          <w:tcPr>
            <w:tcW w:w="2940" w:type="dxa"/>
            <w:vAlign w:val="bottom"/>
          </w:tcPr>
          <w:p>
            <w:pPr>
              <w:ind w:left="940"/>
              <w:spacing w:after="0"/>
              <w:rPr>
                <w:sz w:val="20"/>
                <w:szCs w:val="20"/>
                <w:color w:val="auto"/>
              </w:rPr>
            </w:pPr>
            <w:r>
              <w:rPr>
                <w:rFonts w:ascii="Arial" w:cs="Arial" w:eastAsia="Arial" w:hAnsi="Arial"/>
                <w:sz w:val="20"/>
                <w:szCs w:val="20"/>
                <w:color w:val="auto"/>
              </w:rPr>
              <w:t>Egypt</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000" w:type="dxa"/>
            <w:vAlign w:val="bottom"/>
          </w:tcPr>
          <w:p>
            <w:pPr>
              <w:spacing w:after="0"/>
              <w:rPr>
                <w:sz w:val="20"/>
                <w:szCs w:val="20"/>
                <w:color w:val="auto"/>
              </w:rPr>
            </w:pPr>
            <w:r>
              <w:rPr>
                <w:rFonts w:ascii="Arial" w:cs="Arial" w:eastAsia="Arial" w:hAnsi="Arial"/>
                <w:sz w:val="20"/>
                <w:szCs w:val="20"/>
                <w:color w:val="auto"/>
              </w:rPr>
              <w:t>Xylem Europe GmbH</w:t>
            </w:r>
          </w:p>
        </w:tc>
        <w:tc>
          <w:tcPr>
            <w:tcW w:w="2940" w:type="dxa"/>
            <w:vAlign w:val="bottom"/>
          </w:tcPr>
          <w:p>
            <w:pPr>
              <w:ind w:left="940"/>
              <w:spacing w:after="0"/>
              <w:rPr>
                <w:sz w:val="20"/>
                <w:szCs w:val="20"/>
                <w:color w:val="auto"/>
              </w:rPr>
            </w:pPr>
            <w:r>
              <w:rPr>
                <w:rFonts w:ascii="Arial" w:cs="Arial" w:eastAsia="Arial" w:hAnsi="Arial"/>
                <w:sz w:val="20"/>
                <w:szCs w:val="20"/>
                <w:color w:val="auto"/>
              </w:rPr>
              <w:t>Switzerland</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5000" w:type="dxa"/>
            <w:vAlign w:val="bottom"/>
          </w:tcPr>
          <w:p>
            <w:pPr>
              <w:spacing w:after="0"/>
              <w:rPr>
                <w:sz w:val="20"/>
                <w:szCs w:val="20"/>
                <w:color w:val="auto"/>
              </w:rPr>
            </w:pPr>
            <w:r>
              <w:rPr>
                <w:rFonts w:ascii="Arial" w:cs="Arial" w:eastAsia="Arial" w:hAnsi="Arial"/>
                <w:sz w:val="20"/>
                <w:szCs w:val="20"/>
                <w:color w:val="auto"/>
              </w:rPr>
              <w:t>Xylem Global S.àr.l.</w:t>
            </w:r>
          </w:p>
        </w:tc>
        <w:tc>
          <w:tcPr>
            <w:tcW w:w="2940" w:type="dxa"/>
            <w:vAlign w:val="bottom"/>
          </w:tcPr>
          <w:p>
            <w:pPr>
              <w:ind w:left="94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Holdings Egypt LLC</w:t>
            </w:r>
          </w:p>
        </w:tc>
        <w:tc>
          <w:tcPr>
            <w:tcW w:w="2940" w:type="dxa"/>
            <w:vAlign w:val="bottom"/>
          </w:tcPr>
          <w:p>
            <w:pPr>
              <w:ind w:left="940"/>
              <w:spacing w:after="0"/>
              <w:rPr>
                <w:sz w:val="20"/>
                <w:szCs w:val="20"/>
                <w:color w:val="auto"/>
              </w:rPr>
            </w:pPr>
            <w:r>
              <w:rPr>
                <w:rFonts w:ascii="Arial" w:cs="Arial" w:eastAsia="Arial" w:hAnsi="Arial"/>
                <w:sz w:val="20"/>
                <w:szCs w:val="20"/>
                <w:color w:val="auto"/>
              </w:rPr>
              <w:t>Egypt</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Industriebeteiligungen GmbH</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Industries S.àr.l.</w:t>
            </w:r>
          </w:p>
        </w:tc>
        <w:tc>
          <w:tcPr>
            <w:tcW w:w="2940" w:type="dxa"/>
            <w:vAlign w:val="bottom"/>
          </w:tcPr>
          <w:p>
            <w:pPr>
              <w:ind w:left="94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Industries Singapore Pte. Ltd.</w:t>
            </w:r>
          </w:p>
        </w:tc>
        <w:tc>
          <w:tcPr>
            <w:tcW w:w="2940" w:type="dxa"/>
            <w:vAlign w:val="bottom"/>
          </w:tcPr>
          <w:p>
            <w:pPr>
              <w:ind w:left="940"/>
              <w:spacing w:after="0"/>
              <w:rPr>
                <w:sz w:val="20"/>
                <w:szCs w:val="20"/>
                <w:color w:val="auto"/>
              </w:rPr>
            </w:pPr>
            <w:r>
              <w:rPr>
                <w:rFonts w:ascii="Arial" w:cs="Arial" w:eastAsia="Arial" w:hAnsi="Arial"/>
                <w:sz w:val="20"/>
                <w:szCs w:val="20"/>
                <w:color w:val="auto"/>
              </w:rPr>
              <w:t>Singapore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International S.àr.l.</w:t>
            </w:r>
          </w:p>
        </w:tc>
        <w:tc>
          <w:tcPr>
            <w:tcW w:w="2940" w:type="dxa"/>
            <w:vAlign w:val="bottom"/>
          </w:tcPr>
          <w:p>
            <w:pPr>
              <w:ind w:left="94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IP Holdings LLC</w:t>
            </w:r>
          </w:p>
        </w:tc>
        <w:tc>
          <w:tcPr>
            <w:tcW w:w="2940" w:type="dxa"/>
            <w:vAlign w:val="bottom"/>
          </w:tcPr>
          <w:p>
            <w:pPr>
              <w:ind w:left="94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IP UK S.àr.l.</w:t>
            </w:r>
          </w:p>
        </w:tc>
        <w:tc>
          <w:tcPr>
            <w:tcW w:w="2940" w:type="dxa"/>
            <w:vAlign w:val="bottom"/>
          </w:tcPr>
          <w:p>
            <w:pPr>
              <w:ind w:left="94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Japan K.K.</w:t>
            </w:r>
          </w:p>
        </w:tc>
        <w:tc>
          <w:tcPr>
            <w:tcW w:w="2940" w:type="dxa"/>
            <w:vAlign w:val="bottom"/>
          </w:tcPr>
          <w:p>
            <w:pPr>
              <w:ind w:left="940"/>
              <w:spacing w:after="0"/>
              <w:rPr>
                <w:sz w:val="20"/>
                <w:szCs w:val="20"/>
                <w:color w:val="auto"/>
              </w:rPr>
            </w:pPr>
            <w:r>
              <w:rPr>
                <w:rFonts w:ascii="Arial" w:cs="Arial" w:eastAsia="Arial" w:hAnsi="Arial"/>
                <w:sz w:val="20"/>
                <w:szCs w:val="20"/>
                <w:color w:val="auto"/>
              </w:rPr>
              <w:t>Japan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Lowara Ltd</w:t>
            </w:r>
          </w:p>
        </w:tc>
        <w:tc>
          <w:tcPr>
            <w:tcW w:w="2940" w:type="dxa"/>
            <w:vAlign w:val="bottom"/>
          </w:tcPr>
          <w:p>
            <w:pPr>
              <w:ind w:left="94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Management GmbH</w:t>
            </w:r>
          </w:p>
        </w:tc>
        <w:tc>
          <w:tcPr>
            <w:tcW w:w="2940" w:type="dxa"/>
            <w:vAlign w:val="bottom"/>
          </w:tcPr>
          <w:p>
            <w:pPr>
              <w:ind w:left="94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00" w:type="dxa"/>
            <w:vAlign w:val="bottom"/>
          </w:tcPr>
          <w:p>
            <w:pPr>
              <w:spacing w:after="0"/>
              <w:rPr>
                <w:sz w:val="20"/>
                <w:szCs w:val="20"/>
                <w:color w:val="auto"/>
              </w:rPr>
            </w:pPr>
            <w:r>
              <w:rPr>
                <w:rFonts w:ascii="Arial" w:cs="Arial" w:eastAsia="Arial" w:hAnsi="Arial"/>
                <w:sz w:val="20"/>
                <w:szCs w:val="20"/>
                <w:color w:val="auto"/>
              </w:rPr>
              <w:t>Xylem Manufacturing Austria GmbH</w:t>
            </w:r>
          </w:p>
        </w:tc>
        <w:tc>
          <w:tcPr>
            <w:tcW w:w="2940" w:type="dxa"/>
            <w:vAlign w:val="bottom"/>
          </w:tcPr>
          <w:p>
            <w:pPr>
              <w:ind w:left="940"/>
              <w:spacing w:after="0"/>
              <w:rPr>
                <w:sz w:val="20"/>
                <w:szCs w:val="20"/>
                <w:color w:val="auto"/>
              </w:rPr>
            </w:pPr>
            <w:r>
              <w:rPr>
                <w:rFonts w:ascii="Arial" w:cs="Arial" w:eastAsia="Arial" w:hAnsi="Arial"/>
                <w:sz w:val="20"/>
                <w:szCs w:val="20"/>
                <w:color w:val="auto"/>
              </w:rPr>
              <w:t>Austria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Xylem Manufacturing Middle East Region FZCO</w:t>
            </w:r>
          </w:p>
        </w:tc>
        <w:tc>
          <w:tcPr>
            <w:tcW w:w="2940" w:type="dxa"/>
            <w:vAlign w:val="bottom"/>
          </w:tcPr>
          <w:p>
            <w:pPr>
              <w:ind w:left="940"/>
              <w:spacing w:after="0"/>
              <w:rPr>
                <w:sz w:val="20"/>
                <w:szCs w:val="20"/>
                <w:color w:val="auto"/>
              </w:rPr>
            </w:pPr>
            <w:r>
              <w:rPr>
                <w:rFonts w:ascii="Arial" w:cs="Arial" w:eastAsia="Arial" w:hAnsi="Arial"/>
                <w:sz w:val="20"/>
                <w:szCs w:val="20"/>
                <w:color w:val="auto"/>
              </w:rPr>
              <w:t>United Arab Emirates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0980"/>
          </w:cols>
          <w:pgMar w:left="320" w:top="931" w:right="599" w:bottom="1440" w:gutter="0" w:footer="0" w:header="0"/>
        </w:sectPr>
      </w:pPr>
    </w:p>
    <w:bookmarkStart w:id="121" w:name="page122"/>
    <w:bookmarkEnd w:id="121"/>
    <w:tbl>
      <w:tblPr>
        <w:tblLayout w:type="fixed"/>
        <w:tblInd w:w="100" w:type="dxa"/>
        <w:tblCellMar>
          <w:top w:w="0" w:type="dxa"/>
          <w:left w:w="0" w:type="dxa"/>
          <w:bottom w:w="0" w:type="dxa"/>
          <w:right w:w="0" w:type="dxa"/>
        </w:tblCellMar>
      </w:tblPr>
      <w:tr>
        <w:trPr>
          <w:trHeight w:val="230"/>
        </w:trPr>
        <w:tc>
          <w:tcPr>
            <w:tcW w:w="538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560" w:type="dxa"/>
            <w:vAlign w:val="bottom"/>
            <w:vMerge w:val="restart"/>
          </w:tcPr>
          <w:p>
            <w:pPr>
              <w:ind w:left="560"/>
              <w:spacing w:after="0"/>
              <w:rPr>
                <w:sz w:val="20"/>
                <w:szCs w:val="20"/>
                <w:color w:val="auto"/>
              </w:rPr>
            </w:pPr>
            <w:r>
              <w:rPr>
                <w:rFonts w:ascii="Arial" w:cs="Arial" w:eastAsia="Arial" w:hAnsi="Arial"/>
                <w:sz w:val="20"/>
                <w:szCs w:val="20"/>
                <w:b w:val="1"/>
                <w:bCs w:val="1"/>
                <w:color w:val="auto"/>
              </w:rPr>
              <w:t>Jurisdiction</w:t>
            </w: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w w:val="90"/>
              </w:rPr>
              <w:t>Name Under Which Doing</w:t>
            </w:r>
          </w:p>
        </w:tc>
        <w:tc>
          <w:tcPr>
            <w:tcW w:w="0" w:type="dxa"/>
            <w:vAlign w:val="bottom"/>
          </w:tcPr>
          <w:p>
            <w:pPr>
              <w:spacing w:after="0"/>
              <w:rPr>
                <w:sz w:val="1"/>
                <w:szCs w:val="1"/>
                <w:color w:val="auto"/>
              </w:rPr>
            </w:pPr>
          </w:p>
        </w:tc>
      </w:tr>
      <w:tr>
        <w:trPr>
          <w:trHeight w:val="238"/>
        </w:trPr>
        <w:tc>
          <w:tcPr>
            <w:tcW w:w="5380" w:type="dxa"/>
            <w:vAlign w:val="bottom"/>
            <w:vMerge w:val="continue"/>
          </w:tcPr>
          <w:p>
            <w:pPr>
              <w:spacing w:after="0"/>
              <w:rPr>
                <w:sz w:val="20"/>
                <w:szCs w:val="20"/>
                <w:color w:val="auto"/>
              </w:rPr>
            </w:pPr>
          </w:p>
        </w:tc>
        <w:tc>
          <w:tcPr>
            <w:tcW w:w="2560" w:type="dxa"/>
            <w:vAlign w:val="bottom"/>
            <w:vMerge w:val="continue"/>
          </w:tcPr>
          <w:p>
            <w:pPr>
              <w:spacing w:after="0"/>
              <w:rPr>
                <w:sz w:val="20"/>
                <w:szCs w:val="20"/>
                <w:color w:val="auto"/>
              </w:rPr>
            </w:pP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Middle East Water Equipment Trading &amp; Rental LLC</w:t>
            </w:r>
          </w:p>
        </w:tc>
        <w:tc>
          <w:tcPr>
            <w:tcW w:w="2560" w:type="dxa"/>
            <w:vAlign w:val="bottom"/>
          </w:tcPr>
          <w:p>
            <w:pPr>
              <w:ind w:left="560"/>
              <w:spacing w:after="0"/>
              <w:rPr>
                <w:sz w:val="20"/>
                <w:szCs w:val="20"/>
                <w:color w:val="auto"/>
              </w:rPr>
            </w:pPr>
            <w:r>
              <w:rPr>
                <w:rFonts w:ascii="Arial" w:cs="Arial" w:eastAsia="Arial" w:hAnsi="Arial"/>
                <w:sz w:val="20"/>
                <w:szCs w:val="20"/>
                <w:color w:val="auto"/>
              </w:rPr>
              <w:t>United Arab Emirates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Ontario Inc.</w:t>
            </w:r>
          </w:p>
        </w:tc>
        <w:tc>
          <w:tcPr>
            <w:tcW w:w="2560" w:type="dxa"/>
            <w:vAlign w:val="bottom"/>
          </w:tcPr>
          <w:p>
            <w:pPr>
              <w:ind w:left="560"/>
              <w:spacing w:after="0"/>
              <w:rPr>
                <w:sz w:val="20"/>
                <w:szCs w:val="20"/>
                <w:color w:val="auto"/>
              </w:rPr>
            </w:pPr>
            <w:r>
              <w:rPr>
                <w:rFonts w:ascii="Arial" w:cs="Arial" w:eastAsia="Arial" w:hAnsi="Arial"/>
                <w:sz w:val="20"/>
                <w:szCs w:val="20"/>
                <w:color w:val="auto"/>
              </w:rPr>
              <w:t>Ontario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Rus LLC</w:t>
            </w:r>
          </w:p>
        </w:tc>
        <w:tc>
          <w:tcPr>
            <w:tcW w:w="2560" w:type="dxa"/>
            <w:vAlign w:val="bottom"/>
          </w:tcPr>
          <w:p>
            <w:pPr>
              <w:ind w:left="560"/>
              <w:spacing w:after="0"/>
              <w:rPr>
                <w:sz w:val="20"/>
                <w:szCs w:val="20"/>
                <w:color w:val="auto"/>
              </w:rPr>
            </w:pPr>
            <w:r>
              <w:rPr>
                <w:rFonts w:ascii="Arial" w:cs="Arial" w:eastAsia="Arial" w:hAnsi="Arial"/>
                <w:sz w:val="20"/>
                <w:szCs w:val="20"/>
                <w:color w:val="auto"/>
              </w:rPr>
              <w:t>Russian Federation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Saudi Arabia Limited</w:t>
            </w:r>
          </w:p>
        </w:tc>
        <w:tc>
          <w:tcPr>
            <w:tcW w:w="2560" w:type="dxa"/>
            <w:vAlign w:val="bottom"/>
          </w:tcPr>
          <w:p>
            <w:pPr>
              <w:ind w:left="560"/>
              <w:spacing w:after="0"/>
              <w:rPr>
                <w:sz w:val="20"/>
                <w:szCs w:val="20"/>
                <w:color w:val="auto"/>
              </w:rPr>
            </w:pPr>
            <w:r>
              <w:rPr>
                <w:rFonts w:ascii="Arial" w:cs="Arial" w:eastAsia="Arial" w:hAnsi="Arial"/>
                <w:sz w:val="20"/>
                <w:szCs w:val="20"/>
                <w:color w:val="auto"/>
              </w:rPr>
              <w:t>Saudi Arabia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Service Hungary Kft</w:t>
            </w:r>
          </w:p>
        </w:tc>
        <w:tc>
          <w:tcPr>
            <w:tcW w:w="2560" w:type="dxa"/>
            <w:vAlign w:val="bottom"/>
          </w:tcPr>
          <w:p>
            <w:pPr>
              <w:ind w:left="560"/>
              <w:spacing w:after="0"/>
              <w:rPr>
                <w:sz w:val="20"/>
                <w:szCs w:val="20"/>
                <w:color w:val="auto"/>
              </w:rPr>
            </w:pPr>
            <w:r>
              <w:rPr>
                <w:rFonts w:ascii="Arial" w:cs="Arial" w:eastAsia="Arial" w:hAnsi="Arial"/>
                <w:sz w:val="20"/>
                <w:szCs w:val="20"/>
                <w:color w:val="auto"/>
              </w:rPr>
              <w:t>Hungary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Service Italia Srl</w:t>
            </w:r>
          </w:p>
        </w:tc>
        <w:tc>
          <w:tcPr>
            <w:tcW w:w="2560" w:type="dxa"/>
            <w:vAlign w:val="bottom"/>
          </w:tcPr>
          <w:p>
            <w:pPr>
              <w:ind w:left="560"/>
              <w:spacing w:after="0"/>
              <w:rPr>
                <w:sz w:val="20"/>
                <w:szCs w:val="20"/>
                <w:color w:val="auto"/>
              </w:rPr>
            </w:pPr>
            <w:r>
              <w:rPr>
                <w:rFonts w:ascii="Arial" w:cs="Arial" w:eastAsia="Arial" w:hAnsi="Arial"/>
                <w:sz w:val="20"/>
                <w:szCs w:val="20"/>
                <w:color w:val="auto"/>
              </w:rPr>
              <w:t>Italy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Services Austria GmbH</w:t>
            </w:r>
          </w:p>
        </w:tc>
        <w:tc>
          <w:tcPr>
            <w:tcW w:w="2560" w:type="dxa"/>
            <w:vAlign w:val="bottom"/>
          </w:tcPr>
          <w:p>
            <w:pPr>
              <w:ind w:left="560"/>
              <w:spacing w:after="0"/>
              <w:rPr>
                <w:sz w:val="20"/>
                <w:szCs w:val="20"/>
                <w:color w:val="auto"/>
              </w:rPr>
            </w:pPr>
            <w:r>
              <w:rPr>
                <w:rFonts w:ascii="Arial" w:cs="Arial" w:eastAsia="Arial" w:hAnsi="Arial"/>
                <w:sz w:val="20"/>
                <w:szCs w:val="20"/>
                <w:color w:val="auto"/>
              </w:rPr>
              <w:t>Austria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Services GmbH</w:t>
            </w:r>
          </w:p>
        </w:tc>
        <w:tc>
          <w:tcPr>
            <w:tcW w:w="256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Shared Services Sp. Z.o.o.</w:t>
            </w:r>
          </w:p>
        </w:tc>
        <w:tc>
          <w:tcPr>
            <w:tcW w:w="2560" w:type="dxa"/>
            <w:vAlign w:val="bottom"/>
          </w:tcPr>
          <w:p>
            <w:pPr>
              <w:ind w:left="560"/>
              <w:spacing w:after="0"/>
              <w:rPr>
                <w:sz w:val="20"/>
                <w:szCs w:val="20"/>
                <w:color w:val="auto"/>
              </w:rPr>
            </w:pPr>
            <w:r>
              <w:rPr>
                <w:rFonts w:ascii="Arial" w:cs="Arial" w:eastAsia="Arial" w:hAnsi="Arial"/>
                <w:sz w:val="20"/>
                <w:szCs w:val="20"/>
                <w:color w:val="auto"/>
              </w:rPr>
              <w:t>Poland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South Africa Trust</w:t>
            </w:r>
          </w:p>
        </w:tc>
        <w:tc>
          <w:tcPr>
            <w:tcW w:w="2560" w:type="dxa"/>
            <w:vAlign w:val="bottom"/>
          </w:tcPr>
          <w:p>
            <w:pPr>
              <w:ind w:left="560"/>
              <w:spacing w:after="0"/>
              <w:rPr>
                <w:sz w:val="20"/>
                <w:szCs w:val="20"/>
                <w:color w:val="auto"/>
              </w:rPr>
            </w:pPr>
            <w:r>
              <w:rPr>
                <w:rFonts w:ascii="Arial" w:cs="Arial" w:eastAsia="Arial" w:hAnsi="Arial"/>
                <w:sz w:val="20"/>
                <w:szCs w:val="20"/>
                <w:color w:val="auto"/>
              </w:rPr>
              <w:t>South Africa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Technologies &amp; Partners SCS</w:t>
            </w:r>
          </w:p>
        </w:tc>
        <w:tc>
          <w:tcPr>
            <w:tcW w:w="2560" w:type="dxa"/>
            <w:vAlign w:val="bottom"/>
          </w:tcPr>
          <w:p>
            <w:pPr>
              <w:ind w:left="560"/>
              <w:spacing w:after="0"/>
              <w:rPr>
                <w:sz w:val="20"/>
                <w:szCs w:val="20"/>
                <w:color w:val="auto"/>
              </w:rPr>
            </w:pPr>
            <w:r>
              <w:rPr>
                <w:rFonts w:ascii="Arial" w:cs="Arial" w:eastAsia="Arial" w:hAnsi="Arial"/>
                <w:sz w:val="20"/>
                <w:szCs w:val="20"/>
                <w:color w:val="auto"/>
              </w:rPr>
              <w:t>Luxembourg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20"/>
                <w:szCs w:val="20"/>
                <w:color w:val="auto"/>
              </w:rPr>
              <w:t>Xylem Technologies GmbH</w:t>
            </w:r>
          </w:p>
        </w:tc>
        <w:tc>
          <w:tcPr>
            <w:tcW w:w="256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380" w:type="dxa"/>
            <w:vAlign w:val="bottom"/>
          </w:tcPr>
          <w:p>
            <w:pPr>
              <w:spacing w:after="0"/>
              <w:rPr>
                <w:sz w:val="20"/>
                <w:szCs w:val="20"/>
                <w:color w:val="auto"/>
              </w:rPr>
            </w:pPr>
            <w:r>
              <w:rPr>
                <w:rFonts w:ascii="Arial" w:cs="Arial" w:eastAsia="Arial" w:hAnsi="Arial"/>
                <w:sz w:val="20"/>
                <w:szCs w:val="20"/>
                <w:color w:val="auto"/>
              </w:rPr>
              <w:t>Xylem Vue Inc.</w:t>
            </w:r>
          </w:p>
        </w:tc>
        <w:tc>
          <w:tcPr>
            <w:tcW w:w="2560" w:type="dxa"/>
            <w:vAlign w:val="bottom"/>
          </w:tcPr>
          <w:p>
            <w:pPr>
              <w:ind w:left="5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Holdings Ltd</w:t>
            </w:r>
          </w:p>
        </w:tc>
        <w:tc>
          <w:tcPr>
            <w:tcW w:w="256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Ltd</w:t>
            </w:r>
          </w:p>
        </w:tc>
        <w:tc>
          <w:tcPr>
            <w:tcW w:w="256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Services Ltd</w:t>
            </w:r>
          </w:p>
        </w:tc>
        <w:tc>
          <w:tcPr>
            <w:tcW w:w="2560" w:type="dxa"/>
            <w:vAlign w:val="bottom"/>
          </w:tcPr>
          <w:p>
            <w:pPr>
              <w:ind w:left="5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Argentina S.A.</w:t>
            </w:r>
          </w:p>
        </w:tc>
        <w:tc>
          <w:tcPr>
            <w:tcW w:w="2560" w:type="dxa"/>
            <w:vAlign w:val="bottom"/>
          </w:tcPr>
          <w:p>
            <w:pPr>
              <w:ind w:left="560"/>
              <w:spacing w:after="0"/>
              <w:rPr>
                <w:sz w:val="20"/>
                <w:szCs w:val="20"/>
                <w:color w:val="auto"/>
              </w:rPr>
            </w:pPr>
            <w:r>
              <w:rPr>
                <w:rFonts w:ascii="Arial" w:cs="Arial" w:eastAsia="Arial" w:hAnsi="Arial"/>
                <w:sz w:val="20"/>
                <w:szCs w:val="20"/>
                <w:color w:val="auto"/>
              </w:rPr>
              <w:t>Argentina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Australia Limited</w:t>
            </w:r>
          </w:p>
        </w:tc>
        <w:tc>
          <w:tcPr>
            <w:tcW w:w="2560" w:type="dxa"/>
            <w:vAlign w:val="bottom"/>
          </w:tcPr>
          <w:p>
            <w:pPr>
              <w:ind w:left="560"/>
              <w:spacing w:after="0"/>
              <w:rPr>
                <w:sz w:val="20"/>
                <w:szCs w:val="20"/>
                <w:color w:val="auto"/>
              </w:rPr>
            </w:pPr>
            <w:r>
              <w:rPr>
                <w:rFonts w:ascii="Arial" w:cs="Arial" w:eastAsia="Arial" w:hAnsi="Arial"/>
                <w:sz w:val="20"/>
                <w:szCs w:val="20"/>
                <w:color w:val="auto"/>
              </w:rPr>
              <w:t>Australia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Austria GmbH</w:t>
            </w:r>
          </w:p>
        </w:tc>
        <w:tc>
          <w:tcPr>
            <w:tcW w:w="2560" w:type="dxa"/>
            <w:vAlign w:val="bottom"/>
          </w:tcPr>
          <w:p>
            <w:pPr>
              <w:ind w:left="560"/>
              <w:spacing w:after="0"/>
              <w:rPr>
                <w:sz w:val="20"/>
                <w:szCs w:val="20"/>
                <w:color w:val="auto"/>
              </w:rPr>
            </w:pPr>
            <w:r>
              <w:rPr>
                <w:rFonts w:ascii="Arial" w:cs="Arial" w:eastAsia="Arial" w:hAnsi="Arial"/>
                <w:sz w:val="20"/>
                <w:szCs w:val="20"/>
                <w:color w:val="auto"/>
              </w:rPr>
              <w:t>Austria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Belgium BVBA</w:t>
            </w:r>
          </w:p>
        </w:tc>
        <w:tc>
          <w:tcPr>
            <w:tcW w:w="2560" w:type="dxa"/>
            <w:vAlign w:val="bottom"/>
          </w:tcPr>
          <w:p>
            <w:pPr>
              <w:ind w:left="560"/>
              <w:spacing w:after="0"/>
              <w:rPr>
                <w:sz w:val="20"/>
                <w:szCs w:val="20"/>
                <w:color w:val="auto"/>
              </w:rPr>
            </w:pPr>
            <w:r>
              <w:rPr>
                <w:rFonts w:ascii="Arial" w:cs="Arial" w:eastAsia="Arial" w:hAnsi="Arial"/>
                <w:sz w:val="20"/>
                <w:szCs w:val="20"/>
                <w:color w:val="auto"/>
              </w:rPr>
              <w:t>Belgium</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Chile S.A.</w:t>
            </w:r>
          </w:p>
        </w:tc>
        <w:tc>
          <w:tcPr>
            <w:tcW w:w="2560" w:type="dxa"/>
            <w:vAlign w:val="bottom"/>
          </w:tcPr>
          <w:p>
            <w:pPr>
              <w:ind w:left="560"/>
              <w:spacing w:after="0"/>
              <w:rPr>
                <w:sz w:val="20"/>
                <w:szCs w:val="20"/>
                <w:color w:val="auto"/>
              </w:rPr>
            </w:pPr>
            <w:r>
              <w:rPr>
                <w:rFonts w:ascii="Arial" w:cs="Arial" w:eastAsia="Arial" w:hAnsi="Arial"/>
                <w:sz w:val="20"/>
                <w:szCs w:val="20"/>
                <w:color w:val="auto"/>
              </w:rPr>
              <w:t>Chile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Colombia S.A.S.</w:t>
            </w:r>
          </w:p>
        </w:tc>
        <w:tc>
          <w:tcPr>
            <w:tcW w:w="2560" w:type="dxa"/>
            <w:vAlign w:val="bottom"/>
          </w:tcPr>
          <w:p>
            <w:pPr>
              <w:ind w:left="560"/>
              <w:spacing w:after="0"/>
              <w:rPr>
                <w:sz w:val="20"/>
                <w:szCs w:val="20"/>
                <w:color w:val="auto"/>
              </w:rPr>
            </w:pPr>
            <w:r>
              <w:rPr>
                <w:rFonts w:ascii="Arial" w:cs="Arial" w:eastAsia="Arial" w:hAnsi="Arial"/>
                <w:sz w:val="20"/>
                <w:szCs w:val="20"/>
                <w:color w:val="auto"/>
              </w:rPr>
              <w:t>Colombia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Denmark ApS</w:t>
            </w:r>
          </w:p>
        </w:tc>
        <w:tc>
          <w:tcPr>
            <w:tcW w:w="2560" w:type="dxa"/>
            <w:vAlign w:val="bottom"/>
          </w:tcPr>
          <w:p>
            <w:pPr>
              <w:ind w:left="560"/>
              <w:spacing w:after="0"/>
              <w:rPr>
                <w:sz w:val="20"/>
                <w:szCs w:val="20"/>
                <w:color w:val="auto"/>
              </w:rPr>
            </w:pPr>
            <w:r>
              <w:rPr>
                <w:rFonts w:ascii="Arial" w:cs="Arial" w:eastAsia="Arial" w:hAnsi="Arial"/>
                <w:sz w:val="20"/>
                <w:szCs w:val="20"/>
                <w:color w:val="auto"/>
              </w:rPr>
              <w:t>Denmark</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Deutschland GmbH</w:t>
            </w:r>
          </w:p>
        </w:tc>
        <w:tc>
          <w:tcPr>
            <w:tcW w:w="256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0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España, S.L.U.</w:t>
            </w:r>
          </w:p>
        </w:tc>
        <w:tc>
          <w:tcPr>
            <w:tcW w:w="2560" w:type="dxa"/>
            <w:vAlign w:val="bottom"/>
          </w:tcPr>
          <w:p>
            <w:pPr>
              <w:ind w:left="560"/>
              <w:spacing w:after="0"/>
              <w:rPr>
                <w:sz w:val="20"/>
                <w:szCs w:val="20"/>
                <w:color w:val="auto"/>
              </w:rPr>
            </w:pPr>
            <w:r>
              <w:rPr>
                <w:rFonts w:ascii="Arial" w:cs="Arial" w:eastAsia="Arial" w:hAnsi="Arial"/>
                <w:sz w:val="20"/>
                <w:szCs w:val="20"/>
                <w:color w:val="auto"/>
              </w:rPr>
              <w:t>Spain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Florida LLC</w:t>
            </w:r>
          </w:p>
        </w:tc>
        <w:tc>
          <w:tcPr>
            <w:tcW w:w="2560" w:type="dxa"/>
            <w:vAlign w:val="bottom"/>
          </w:tcPr>
          <w:p>
            <w:pPr>
              <w:ind w:left="560"/>
              <w:spacing w:after="0"/>
              <w:rPr>
                <w:sz w:val="20"/>
                <w:szCs w:val="20"/>
                <w:color w:val="auto"/>
              </w:rPr>
            </w:pPr>
            <w:r>
              <w:rPr>
                <w:rFonts w:ascii="Arial" w:cs="Arial" w:eastAsia="Arial" w:hAnsi="Arial"/>
                <w:sz w:val="20"/>
                <w:szCs w:val="20"/>
                <w:color w:val="auto"/>
              </w:rPr>
              <w:t>Florida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France SAS</w:t>
            </w:r>
          </w:p>
        </w:tc>
        <w:tc>
          <w:tcPr>
            <w:tcW w:w="2560" w:type="dxa"/>
            <w:vAlign w:val="bottom"/>
          </w:tcPr>
          <w:p>
            <w:pPr>
              <w:ind w:left="56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(Thailand) Co., Ltd.</w:t>
            </w:r>
          </w:p>
        </w:tc>
        <w:tc>
          <w:tcPr>
            <w:tcW w:w="2560" w:type="dxa"/>
            <w:vAlign w:val="bottom"/>
          </w:tcPr>
          <w:p>
            <w:pPr>
              <w:ind w:left="560"/>
              <w:spacing w:after="0"/>
              <w:rPr>
                <w:sz w:val="20"/>
                <w:szCs w:val="20"/>
                <w:color w:val="auto"/>
              </w:rPr>
            </w:pPr>
            <w:r>
              <w:rPr>
                <w:rFonts w:ascii="Arial" w:cs="Arial" w:eastAsia="Arial" w:hAnsi="Arial"/>
                <w:sz w:val="20"/>
                <w:szCs w:val="20"/>
                <w:color w:val="auto"/>
              </w:rPr>
              <w:t>Thailand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Global Services AB</w:t>
            </w:r>
          </w:p>
        </w:tc>
        <w:tc>
          <w:tcPr>
            <w:tcW w:w="2560" w:type="dxa"/>
            <w:vAlign w:val="bottom"/>
          </w:tcPr>
          <w:p>
            <w:pPr>
              <w:ind w:left="560"/>
              <w:spacing w:after="0"/>
              <w:rPr>
                <w:sz w:val="20"/>
                <w:szCs w:val="20"/>
                <w:color w:val="auto"/>
              </w:rPr>
            </w:pPr>
            <w:r>
              <w:rPr>
                <w:rFonts w:ascii="Arial" w:cs="Arial" w:eastAsia="Arial" w:hAnsi="Arial"/>
                <w:sz w:val="20"/>
                <w:szCs w:val="20"/>
                <w:color w:val="auto"/>
              </w:rPr>
              <w:t>Sweden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Herford GmbH</w:t>
            </w:r>
          </w:p>
        </w:tc>
        <w:tc>
          <w:tcPr>
            <w:tcW w:w="2560" w:type="dxa"/>
            <w:vAlign w:val="bottom"/>
          </w:tcPr>
          <w:p>
            <w:pPr>
              <w:ind w:left="560"/>
              <w:spacing w:after="0"/>
              <w:rPr>
                <w:sz w:val="20"/>
                <w:szCs w:val="20"/>
                <w:color w:val="auto"/>
              </w:rPr>
            </w:pPr>
            <w:r>
              <w:rPr>
                <w:rFonts w:ascii="Arial" w:cs="Arial" w:eastAsia="Arial" w:hAnsi="Arial"/>
                <w:sz w:val="20"/>
                <w:szCs w:val="20"/>
                <w:color w:val="auto"/>
              </w:rPr>
              <w:t>Germany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Holdings France SAS</w:t>
            </w:r>
          </w:p>
        </w:tc>
        <w:tc>
          <w:tcPr>
            <w:tcW w:w="2560" w:type="dxa"/>
            <w:vAlign w:val="bottom"/>
          </w:tcPr>
          <w:p>
            <w:pPr>
              <w:ind w:left="56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India Pvt. Ltd.</w:t>
            </w:r>
          </w:p>
        </w:tc>
        <w:tc>
          <w:tcPr>
            <w:tcW w:w="2560" w:type="dxa"/>
            <w:vAlign w:val="bottom"/>
          </w:tcPr>
          <w:p>
            <w:pPr>
              <w:ind w:left="560"/>
              <w:spacing w:after="0"/>
              <w:rPr>
                <w:sz w:val="20"/>
                <w:szCs w:val="20"/>
                <w:color w:val="auto"/>
              </w:rPr>
            </w:pPr>
            <w:r>
              <w:rPr>
                <w:rFonts w:ascii="Arial" w:cs="Arial" w:eastAsia="Arial" w:hAnsi="Arial"/>
                <w:sz w:val="20"/>
                <w:szCs w:val="20"/>
                <w:color w:val="auto"/>
              </w:rPr>
              <w:t>India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Ireland Ltd.</w:t>
            </w:r>
          </w:p>
        </w:tc>
        <w:tc>
          <w:tcPr>
            <w:tcW w:w="2560" w:type="dxa"/>
            <w:vAlign w:val="bottom"/>
          </w:tcPr>
          <w:p>
            <w:pPr>
              <w:ind w:left="560"/>
              <w:spacing w:after="0"/>
              <w:rPr>
                <w:sz w:val="20"/>
                <w:szCs w:val="20"/>
                <w:color w:val="auto"/>
              </w:rPr>
            </w:pPr>
            <w:r>
              <w:rPr>
                <w:rFonts w:ascii="Arial" w:cs="Arial" w:eastAsia="Arial" w:hAnsi="Arial"/>
                <w:sz w:val="20"/>
                <w:szCs w:val="20"/>
                <w:color w:val="auto"/>
              </w:rPr>
              <w:t>Ireland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Italia S.r.l.</w:t>
            </w:r>
          </w:p>
        </w:tc>
        <w:tc>
          <w:tcPr>
            <w:tcW w:w="2560" w:type="dxa"/>
            <w:vAlign w:val="bottom"/>
          </w:tcPr>
          <w:p>
            <w:pPr>
              <w:ind w:left="560"/>
              <w:spacing w:after="0"/>
              <w:rPr>
                <w:sz w:val="20"/>
                <w:szCs w:val="20"/>
                <w:color w:val="auto"/>
              </w:rPr>
            </w:pPr>
            <w:r>
              <w:rPr>
                <w:rFonts w:ascii="Arial" w:cs="Arial" w:eastAsia="Arial" w:hAnsi="Arial"/>
                <w:sz w:val="20"/>
                <w:szCs w:val="20"/>
                <w:color w:val="auto"/>
              </w:rPr>
              <w:t>Italy</w:t>
            </w:r>
          </w:p>
        </w:tc>
        <w:tc>
          <w:tcPr>
            <w:tcW w:w="250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Kenya Limited</w:t>
            </w:r>
          </w:p>
        </w:tc>
        <w:tc>
          <w:tcPr>
            <w:tcW w:w="2560" w:type="dxa"/>
            <w:vAlign w:val="bottom"/>
          </w:tcPr>
          <w:p>
            <w:pPr>
              <w:ind w:left="560"/>
              <w:spacing w:after="0"/>
              <w:rPr>
                <w:sz w:val="20"/>
                <w:szCs w:val="20"/>
                <w:color w:val="auto"/>
              </w:rPr>
            </w:pPr>
            <w:r>
              <w:rPr>
                <w:rFonts w:ascii="Arial" w:cs="Arial" w:eastAsia="Arial" w:hAnsi="Arial"/>
                <w:sz w:val="20"/>
                <w:szCs w:val="20"/>
                <w:color w:val="auto"/>
              </w:rPr>
              <w:t>Kenya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Korea Co., Ltd.</w:t>
            </w:r>
          </w:p>
        </w:tc>
        <w:tc>
          <w:tcPr>
            <w:tcW w:w="2560" w:type="dxa"/>
            <w:vAlign w:val="bottom"/>
          </w:tcPr>
          <w:p>
            <w:pPr>
              <w:ind w:left="560"/>
              <w:spacing w:after="0"/>
              <w:rPr>
                <w:sz w:val="20"/>
                <w:szCs w:val="20"/>
                <w:color w:val="auto"/>
              </w:rPr>
            </w:pPr>
            <w:r>
              <w:rPr>
                <w:rFonts w:ascii="Arial" w:cs="Arial" w:eastAsia="Arial" w:hAnsi="Arial"/>
                <w:sz w:val="20"/>
                <w:szCs w:val="20"/>
                <w:color w:val="auto"/>
              </w:rPr>
              <w:t>South Korea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Magyarorszag KFT</w:t>
            </w:r>
          </w:p>
        </w:tc>
        <w:tc>
          <w:tcPr>
            <w:tcW w:w="2560" w:type="dxa"/>
            <w:vAlign w:val="bottom"/>
          </w:tcPr>
          <w:p>
            <w:pPr>
              <w:ind w:left="560"/>
              <w:spacing w:after="0"/>
              <w:rPr>
                <w:sz w:val="20"/>
                <w:szCs w:val="20"/>
                <w:color w:val="auto"/>
              </w:rPr>
            </w:pPr>
            <w:r>
              <w:rPr>
                <w:rFonts w:ascii="Arial" w:cs="Arial" w:eastAsia="Arial" w:hAnsi="Arial"/>
                <w:sz w:val="20"/>
                <w:szCs w:val="20"/>
                <w:color w:val="auto"/>
              </w:rPr>
              <w:t>Hungary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Malaysia SDN. BHD.</w:t>
            </w:r>
          </w:p>
        </w:tc>
        <w:tc>
          <w:tcPr>
            <w:tcW w:w="2560" w:type="dxa"/>
            <w:vAlign w:val="bottom"/>
          </w:tcPr>
          <w:p>
            <w:pPr>
              <w:ind w:left="560"/>
              <w:spacing w:after="0"/>
              <w:rPr>
                <w:sz w:val="20"/>
                <w:szCs w:val="20"/>
                <w:color w:val="auto"/>
              </w:rPr>
            </w:pPr>
            <w:r>
              <w:rPr>
                <w:rFonts w:ascii="Arial" w:cs="Arial" w:eastAsia="Arial" w:hAnsi="Arial"/>
                <w:sz w:val="20"/>
                <w:szCs w:val="20"/>
                <w:color w:val="auto"/>
              </w:rPr>
              <w:t>Malaysia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20"/>
                <w:szCs w:val="20"/>
                <w:color w:val="auto"/>
              </w:rPr>
              <w:t>Xylem Water Solutions Manufacturing AB</w:t>
            </w:r>
          </w:p>
        </w:tc>
        <w:tc>
          <w:tcPr>
            <w:tcW w:w="2560" w:type="dxa"/>
            <w:vAlign w:val="bottom"/>
          </w:tcPr>
          <w:p>
            <w:pPr>
              <w:ind w:left="560"/>
              <w:spacing w:after="0"/>
              <w:rPr>
                <w:sz w:val="20"/>
                <w:szCs w:val="20"/>
                <w:color w:val="auto"/>
              </w:rPr>
            </w:pPr>
            <w:r>
              <w:rPr>
                <w:rFonts w:ascii="Arial" w:cs="Arial" w:eastAsia="Arial" w:hAnsi="Arial"/>
                <w:sz w:val="20"/>
                <w:szCs w:val="20"/>
                <w:color w:val="auto"/>
              </w:rPr>
              <w:t>Sweden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20"/>
                <w:szCs w:val="20"/>
                <w:color w:val="auto"/>
              </w:rPr>
              <w:t>Xylem Water Solutions Metz SAS</w:t>
            </w:r>
          </w:p>
        </w:tc>
        <w:tc>
          <w:tcPr>
            <w:tcW w:w="2560" w:type="dxa"/>
            <w:vAlign w:val="bottom"/>
          </w:tcPr>
          <w:p>
            <w:pPr>
              <w:ind w:left="560"/>
              <w:spacing w:after="0"/>
              <w:rPr>
                <w:sz w:val="20"/>
                <w:szCs w:val="20"/>
                <w:color w:val="auto"/>
              </w:rPr>
            </w:pPr>
            <w:r>
              <w:rPr>
                <w:rFonts w:ascii="Arial" w:cs="Arial" w:eastAsia="Arial" w:hAnsi="Arial"/>
                <w:sz w:val="20"/>
                <w:szCs w:val="20"/>
                <w:color w:val="auto"/>
              </w:rPr>
              <w:t>France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0980"/>
          </w:cols>
          <w:pgMar w:left="320" w:top="930" w:right="599" w:bottom="1440" w:gutter="0" w:footer="0" w:header="0"/>
        </w:sectPr>
      </w:pPr>
    </w:p>
    <w:bookmarkStart w:id="122" w:name="page123"/>
    <w:bookmarkEnd w:id="122"/>
    <w:tbl>
      <w:tblPr>
        <w:tblLayout w:type="fixed"/>
        <w:tblInd w:w="10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Arial" w:cs="Arial" w:eastAsia="Arial" w:hAnsi="Arial"/>
                <w:sz w:val="20"/>
                <w:szCs w:val="20"/>
                <w:b w:val="1"/>
                <w:bCs w:val="1"/>
                <w:color w:val="auto"/>
              </w:rPr>
              <w:t>Legal Name</w:t>
            </w:r>
          </w:p>
        </w:tc>
        <w:tc>
          <w:tcPr>
            <w:tcW w:w="2960" w:type="dxa"/>
            <w:vAlign w:val="bottom"/>
            <w:vMerge w:val="restart"/>
          </w:tcPr>
          <w:p>
            <w:pPr>
              <w:ind w:left="960"/>
              <w:spacing w:after="0"/>
              <w:rPr>
                <w:sz w:val="20"/>
                <w:szCs w:val="20"/>
                <w:color w:val="auto"/>
              </w:rPr>
            </w:pPr>
            <w:r>
              <w:rPr>
                <w:rFonts w:ascii="Arial" w:cs="Arial" w:eastAsia="Arial" w:hAnsi="Arial"/>
                <w:sz w:val="20"/>
                <w:szCs w:val="20"/>
                <w:b w:val="1"/>
                <w:bCs w:val="1"/>
                <w:color w:val="auto"/>
              </w:rPr>
              <w:t>Jurisdiction</w:t>
            </w: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w w:val="90"/>
              </w:rPr>
              <w:t>Name Under Which Doing</w:t>
            </w:r>
          </w:p>
        </w:tc>
        <w:tc>
          <w:tcPr>
            <w:tcW w:w="0" w:type="dxa"/>
            <w:vAlign w:val="bottom"/>
          </w:tcPr>
          <w:p>
            <w:pPr>
              <w:spacing w:after="0"/>
              <w:rPr>
                <w:sz w:val="1"/>
                <w:szCs w:val="1"/>
                <w:color w:val="auto"/>
              </w:rPr>
            </w:pPr>
          </w:p>
        </w:tc>
      </w:tr>
      <w:tr>
        <w:trPr>
          <w:trHeight w:val="238"/>
        </w:trPr>
        <w:tc>
          <w:tcPr>
            <w:tcW w:w="4980" w:type="dxa"/>
            <w:vAlign w:val="bottom"/>
            <w:vMerge w:val="continue"/>
          </w:tcPr>
          <w:p>
            <w:pPr>
              <w:spacing w:after="0"/>
              <w:rPr>
                <w:sz w:val="20"/>
                <w:szCs w:val="20"/>
                <w:color w:val="auto"/>
              </w:rPr>
            </w:pPr>
          </w:p>
        </w:tc>
        <w:tc>
          <w:tcPr>
            <w:tcW w:w="2960" w:type="dxa"/>
            <w:vAlign w:val="bottom"/>
            <w:vMerge w:val="continue"/>
          </w:tcPr>
          <w:p>
            <w:pPr>
              <w:spacing w:after="0"/>
              <w:rPr>
                <w:sz w:val="20"/>
                <w:szCs w:val="20"/>
                <w:color w:val="auto"/>
              </w:rPr>
            </w:pPr>
          </w:p>
        </w:tc>
        <w:tc>
          <w:tcPr>
            <w:tcW w:w="2500" w:type="dxa"/>
            <w:vAlign w:val="bottom"/>
          </w:tcPr>
          <w:p>
            <w:pPr>
              <w:ind w:left="260"/>
              <w:spacing w:after="0"/>
              <w:rPr>
                <w:sz w:val="20"/>
                <w:szCs w:val="20"/>
                <w:color w:val="auto"/>
              </w:rPr>
            </w:pPr>
            <w:r>
              <w:rPr>
                <w:rFonts w:ascii="Arial" w:cs="Arial" w:eastAsia="Arial" w:hAnsi="Arial"/>
                <w:sz w:val="20"/>
                <w:szCs w:val="20"/>
                <w:b w:val="1"/>
                <w:bCs w:val="1"/>
                <w:color w:val="auto"/>
              </w:rPr>
              <w:t>Business</w:t>
            </w: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Mexico S.de R.L. de C.V.</w:t>
            </w:r>
          </w:p>
        </w:tc>
        <w:tc>
          <w:tcPr>
            <w:tcW w:w="2960" w:type="dxa"/>
            <w:vAlign w:val="bottom"/>
          </w:tcPr>
          <w:p>
            <w:pPr>
              <w:ind w:left="960"/>
              <w:spacing w:after="0"/>
              <w:rPr>
                <w:sz w:val="20"/>
                <w:szCs w:val="20"/>
                <w:color w:val="auto"/>
              </w:rPr>
            </w:pPr>
            <w:r>
              <w:rPr>
                <w:rFonts w:ascii="Arial" w:cs="Arial" w:eastAsia="Arial" w:hAnsi="Arial"/>
                <w:sz w:val="20"/>
                <w:szCs w:val="20"/>
                <w:color w:val="auto"/>
              </w:rPr>
              <w:t>Mexico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Middle East Region FZCO</w:t>
            </w:r>
          </w:p>
        </w:tc>
        <w:tc>
          <w:tcPr>
            <w:tcW w:w="2960" w:type="dxa"/>
            <w:vAlign w:val="bottom"/>
          </w:tcPr>
          <w:p>
            <w:pPr>
              <w:ind w:left="960"/>
              <w:spacing w:after="0"/>
              <w:rPr>
                <w:sz w:val="20"/>
                <w:szCs w:val="20"/>
                <w:color w:val="auto"/>
              </w:rPr>
            </w:pPr>
            <w:r>
              <w:rPr>
                <w:rFonts w:ascii="Arial" w:cs="Arial" w:eastAsia="Arial" w:hAnsi="Arial"/>
                <w:sz w:val="20"/>
                <w:szCs w:val="20"/>
                <w:color w:val="auto"/>
              </w:rPr>
              <w:t>United Arab Emirates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Muscat Co. LLC</w:t>
            </w:r>
          </w:p>
        </w:tc>
        <w:tc>
          <w:tcPr>
            <w:tcW w:w="2960" w:type="dxa"/>
            <w:vAlign w:val="bottom"/>
          </w:tcPr>
          <w:p>
            <w:pPr>
              <w:ind w:left="960"/>
              <w:spacing w:after="0"/>
              <w:rPr>
                <w:sz w:val="20"/>
                <w:szCs w:val="20"/>
                <w:color w:val="auto"/>
              </w:rPr>
            </w:pPr>
            <w:r>
              <w:rPr>
                <w:rFonts w:ascii="Arial" w:cs="Arial" w:eastAsia="Arial" w:hAnsi="Arial"/>
                <w:sz w:val="20"/>
                <w:szCs w:val="20"/>
                <w:color w:val="auto"/>
              </w:rPr>
              <w:t>Oman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Nederland BV</w:t>
            </w:r>
          </w:p>
        </w:tc>
        <w:tc>
          <w:tcPr>
            <w:tcW w:w="2960" w:type="dxa"/>
            <w:vAlign w:val="bottom"/>
          </w:tcPr>
          <w:p>
            <w:pPr>
              <w:ind w:left="960"/>
              <w:spacing w:after="0"/>
              <w:rPr>
                <w:sz w:val="20"/>
                <w:szCs w:val="20"/>
                <w:color w:val="auto"/>
              </w:rPr>
            </w:pPr>
            <w:r>
              <w:rPr>
                <w:rFonts w:ascii="Arial" w:cs="Arial" w:eastAsia="Arial" w:hAnsi="Arial"/>
                <w:sz w:val="20"/>
                <w:szCs w:val="20"/>
                <w:color w:val="auto"/>
              </w:rPr>
              <w:t>Netherlands</w:t>
            </w:r>
          </w:p>
        </w:tc>
        <w:tc>
          <w:tcPr>
            <w:tcW w:w="2500" w:type="dxa"/>
            <w:vAlign w:val="bottom"/>
          </w:tcPr>
          <w:p>
            <w:pPr>
              <w:ind w:left="260"/>
              <w:spacing w:after="0"/>
              <w:rPr>
                <w:sz w:val="20"/>
                <w:szCs w:val="20"/>
                <w:color w:val="auto"/>
              </w:rPr>
            </w:pPr>
            <w:r>
              <w:rPr>
                <w:rFonts w:ascii="Arial" w:cs="Arial" w:eastAsia="Arial" w:hAnsi="Arial"/>
                <w:sz w:val="20"/>
                <w:szCs w:val="20"/>
                <w:color w:val="auto"/>
              </w:rPr>
              <w:t>Flygt</w:t>
            </w: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New Zealand Limited</w:t>
            </w:r>
          </w:p>
        </w:tc>
        <w:tc>
          <w:tcPr>
            <w:tcW w:w="2960" w:type="dxa"/>
            <w:vAlign w:val="bottom"/>
          </w:tcPr>
          <w:p>
            <w:pPr>
              <w:ind w:left="960"/>
              <w:spacing w:after="0"/>
              <w:rPr>
                <w:sz w:val="20"/>
                <w:szCs w:val="20"/>
                <w:color w:val="auto"/>
              </w:rPr>
            </w:pPr>
            <w:r>
              <w:rPr>
                <w:rFonts w:ascii="Arial" w:cs="Arial" w:eastAsia="Arial" w:hAnsi="Arial"/>
                <w:sz w:val="20"/>
                <w:szCs w:val="20"/>
                <w:color w:val="auto"/>
              </w:rPr>
              <w:t>New Zealand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Norge AS</w:t>
            </w:r>
          </w:p>
        </w:tc>
        <w:tc>
          <w:tcPr>
            <w:tcW w:w="2960" w:type="dxa"/>
            <w:vAlign w:val="bottom"/>
          </w:tcPr>
          <w:p>
            <w:pPr>
              <w:ind w:left="960"/>
              <w:spacing w:after="0"/>
              <w:rPr>
                <w:sz w:val="20"/>
                <w:szCs w:val="20"/>
                <w:color w:val="auto"/>
              </w:rPr>
            </w:pPr>
            <w:r>
              <w:rPr>
                <w:rFonts w:ascii="Arial" w:cs="Arial" w:eastAsia="Arial" w:hAnsi="Arial"/>
                <w:sz w:val="20"/>
                <w:szCs w:val="20"/>
                <w:color w:val="auto"/>
              </w:rPr>
              <w:t>Norway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Panama s.r.l.</w:t>
            </w:r>
          </w:p>
        </w:tc>
        <w:tc>
          <w:tcPr>
            <w:tcW w:w="2960" w:type="dxa"/>
            <w:vAlign w:val="bottom"/>
          </w:tcPr>
          <w:p>
            <w:pPr>
              <w:ind w:left="960"/>
              <w:spacing w:after="0"/>
              <w:rPr>
                <w:sz w:val="20"/>
                <w:szCs w:val="20"/>
                <w:color w:val="auto"/>
              </w:rPr>
            </w:pPr>
            <w:r>
              <w:rPr>
                <w:rFonts w:ascii="Arial" w:cs="Arial" w:eastAsia="Arial" w:hAnsi="Arial"/>
                <w:sz w:val="20"/>
                <w:szCs w:val="20"/>
                <w:color w:val="auto"/>
              </w:rPr>
              <w:t>Panama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Peru S.A.</w:t>
            </w:r>
          </w:p>
        </w:tc>
        <w:tc>
          <w:tcPr>
            <w:tcW w:w="2960" w:type="dxa"/>
            <w:vAlign w:val="bottom"/>
          </w:tcPr>
          <w:p>
            <w:pPr>
              <w:ind w:left="960"/>
              <w:spacing w:after="0"/>
              <w:rPr>
                <w:sz w:val="20"/>
                <w:szCs w:val="20"/>
                <w:color w:val="auto"/>
              </w:rPr>
            </w:pPr>
            <w:r>
              <w:rPr>
                <w:rFonts w:ascii="Arial" w:cs="Arial" w:eastAsia="Arial" w:hAnsi="Arial"/>
                <w:sz w:val="20"/>
                <w:szCs w:val="20"/>
                <w:color w:val="auto"/>
              </w:rPr>
              <w:t>Peru</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Polska Sp.z.o.o.</w:t>
            </w:r>
          </w:p>
        </w:tc>
        <w:tc>
          <w:tcPr>
            <w:tcW w:w="2960" w:type="dxa"/>
            <w:vAlign w:val="bottom"/>
          </w:tcPr>
          <w:p>
            <w:pPr>
              <w:ind w:left="960"/>
              <w:spacing w:after="0"/>
              <w:rPr>
                <w:sz w:val="20"/>
                <w:szCs w:val="20"/>
                <w:color w:val="auto"/>
              </w:rPr>
            </w:pPr>
            <w:r>
              <w:rPr>
                <w:rFonts w:ascii="Arial" w:cs="Arial" w:eastAsia="Arial" w:hAnsi="Arial"/>
                <w:sz w:val="20"/>
                <w:szCs w:val="20"/>
                <w:color w:val="auto"/>
              </w:rPr>
              <w:t>Poland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Portugal Unipessoal Lda.</w:t>
            </w:r>
          </w:p>
        </w:tc>
        <w:tc>
          <w:tcPr>
            <w:tcW w:w="2960" w:type="dxa"/>
            <w:vAlign w:val="bottom"/>
          </w:tcPr>
          <w:p>
            <w:pPr>
              <w:ind w:left="960"/>
              <w:spacing w:after="0"/>
              <w:rPr>
                <w:sz w:val="20"/>
                <w:szCs w:val="20"/>
                <w:color w:val="auto"/>
              </w:rPr>
            </w:pPr>
            <w:r>
              <w:rPr>
                <w:rFonts w:ascii="Arial" w:cs="Arial" w:eastAsia="Arial" w:hAnsi="Arial"/>
                <w:sz w:val="20"/>
                <w:szCs w:val="20"/>
                <w:color w:val="auto"/>
              </w:rPr>
              <w:t>Portugal</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Romania SRL</w:t>
            </w:r>
          </w:p>
        </w:tc>
        <w:tc>
          <w:tcPr>
            <w:tcW w:w="2960" w:type="dxa"/>
            <w:vAlign w:val="bottom"/>
          </w:tcPr>
          <w:p>
            <w:pPr>
              <w:ind w:left="960"/>
              <w:spacing w:after="0"/>
              <w:rPr>
                <w:sz w:val="20"/>
                <w:szCs w:val="20"/>
                <w:color w:val="auto"/>
              </w:rPr>
            </w:pPr>
            <w:r>
              <w:rPr>
                <w:rFonts w:ascii="Arial" w:cs="Arial" w:eastAsia="Arial" w:hAnsi="Arial"/>
                <w:sz w:val="20"/>
                <w:szCs w:val="20"/>
                <w:color w:val="auto"/>
              </w:rPr>
              <w:t>Romania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Rugby Ltd</w:t>
            </w:r>
          </w:p>
        </w:tc>
        <w:tc>
          <w:tcPr>
            <w:tcW w:w="296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Singapore PTE Ltd.</w:t>
            </w:r>
          </w:p>
        </w:tc>
        <w:tc>
          <w:tcPr>
            <w:tcW w:w="2960" w:type="dxa"/>
            <w:vAlign w:val="bottom"/>
          </w:tcPr>
          <w:p>
            <w:pPr>
              <w:ind w:left="960"/>
              <w:spacing w:after="0"/>
              <w:rPr>
                <w:sz w:val="20"/>
                <w:szCs w:val="20"/>
                <w:color w:val="auto"/>
              </w:rPr>
            </w:pPr>
            <w:r>
              <w:rPr>
                <w:rFonts w:ascii="Arial" w:cs="Arial" w:eastAsia="Arial" w:hAnsi="Arial"/>
                <w:sz w:val="20"/>
                <w:szCs w:val="20"/>
                <w:color w:val="auto"/>
              </w:rPr>
              <w:t>Singapore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South Africa (Pty) Ltd.</w:t>
            </w:r>
          </w:p>
        </w:tc>
        <w:tc>
          <w:tcPr>
            <w:tcW w:w="2960" w:type="dxa"/>
            <w:vAlign w:val="bottom"/>
          </w:tcPr>
          <w:p>
            <w:pPr>
              <w:ind w:left="960"/>
              <w:spacing w:after="0"/>
              <w:rPr>
                <w:sz w:val="20"/>
                <w:szCs w:val="20"/>
                <w:color w:val="auto"/>
              </w:rPr>
            </w:pPr>
            <w:r>
              <w:rPr>
                <w:rFonts w:ascii="Arial" w:cs="Arial" w:eastAsia="Arial" w:hAnsi="Arial"/>
                <w:sz w:val="20"/>
                <w:szCs w:val="20"/>
                <w:color w:val="auto"/>
              </w:rPr>
              <w:t>South Africa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Suomi Oy</w:t>
            </w:r>
          </w:p>
        </w:tc>
        <w:tc>
          <w:tcPr>
            <w:tcW w:w="2960" w:type="dxa"/>
            <w:vAlign w:val="bottom"/>
          </w:tcPr>
          <w:p>
            <w:pPr>
              <w:ind w:left="960"/>
              <w:spacing w:after="0"/>
              <w:rPr>
                <w:sz w:val="20"/>
                <w:szCs w:val="20"/>
                <w:color w:val="auto"/>
              </w:rPr>
            </w:pPr>
            <w:r>
              <w:rPr>
                <w:rFonts w:ascii="Arial" w:cs="Arial" w:eastAsia="Arial" w:hAnsi="Arial"/>
                <w:sz w:val="20"/>
                <w:szCs w:val="20"/>
                <w:color w:val="auto"/>
              </w:rPr>
              <w:t>Finland</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Sweden AB</w:t>
            </w:r>
          </w:p>
        </w:tc>
        <w:tc>
          <w:tcPr>
            <w:tcW w:w="2960" w:type="dxa"/>
            <w:vAlign w:val="bottom"/>
          </w:tcPr>
          <w:p>
            <w:pPr>
              <w:ind w:left="960"/>
              <w:spacing w:after="0"/>
              <w:rPr>
                <w:sz w:val="20"/>
                <w:szCs w:val="20"/>
                <w:color w:val="auto"/>
              </w:rPr>
            </w:pPr>
            <w:r>
              <w:rPr>
                <w:rFonts w:ascii="Arial" w:cs="Arial" w:eastAsia="Arial" w:hAnsi="Arial"/>
                <w:sz w:val="20"/>
                <w:szCs w:val="20"/>
                <w:color w:val="auto"/>
              </w:rPr>
              <w:t>Sweden</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U.S.A., Inc.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UK Holdings Ltd</w:t>
            </w:r>
          </w:p>
        </w:tc>
        <w:tc>
          <w:tcPr>
            <w:tcW w:w="296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UK Ltd</w:t>
            </w:r>
          </w:p>
        </w:tc>
        <w:tc>
          <w:tcPr>
            <w:tcW w:w="2960" w:type="dxa"/>
            <w:vAlign w:val="bottom"/>
          </w:tcPr>
          <w:p>
            <w:pPr>
              <w:ind w:left="960"/>
              <w:spacing w:after="0"/>
              <w:rPr>
                <w:sz w:val="20"/>
                <w:szCs w:val="20"/>
                <w:color w:val="auto"/>
              </w:rPr>
            </w:pPr>
            <w:r>
              <w:rPr>
                <w:rFonts w:ascii="Arial" w:cs="Arial" w:eastAsia="Arial" w:hAnsi="Arial"/>
                <w:sz w:val="20"/>
                <w:szCs w:val="20"/>
                <w:color w:val="auto"/>
              </w:rPr>
              <w:t>England &amp; Wales</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Zelienople LLC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Solutions (Shenyang) CO., Ltd.</w:t>
            </w:r>
          </w:p>
        </w:tc>
        <w:tc>
          <w:tcPr>
            <w:tcW w:w="2960" w:type="dxa"/>
            <w:vAlign w:val="bottom"/>
          </w:tcPr>
          <w:p>
            <w:pPr>
              <w:ind w:left="960"/>
              <w:spacing w:after="0"/>
              <w:rPr>
                <w:sz w:val="20"/>
                <w:szCs w:val="20"/>
                <w:color w:val="auto"/>
              </w:rPr>
            </w:pPr>
            <w:r>
              <w:rPr>
                <w:rFonts w:ascii="Arial" w:cs="Arial" w:eastAsia="Arial" w:hAnsi="Arial"/>
                <w:sz w:val="20"/>
                <w:szCs w:val="20"/>
                <w:color w:val="auto"/>
              </w:rPr>
              <w:t>China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(California), Inc.</w:t>
            </w:r>
          </w:p>
        </w:tc>
        <w:tc>
          <w:tcPr>
            <w:tcW w:w="2960" w:type="dxa"/>
            <w:vAlign w:val="bottom"/>
          </w:tcPr>
          <w:p>
            <w:pPr>
              <w:ind w:left="960"/>
              <w:spacing w:after="0"/>
              <w:rPr>
                <w:sz w:val="20"/>
                <w:szCs w:val="20"/>
                <w:color w:val="auto"/>
              </w:rPr>
            </w:pPr>
            <w:r>
              <w:rPr>
                <w:rFonts w:ascii="Arial" w:cs="Arial" w:eastAsia="Arial" w:hAnsi="Arial"/>
                <w:sz w:val="20"/>
                <w:szCs w:val="20"/>
                <w:color w:val="auto"/>
              </w:rPr>
              <w:t>California</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Hungary KFT</w:t>
            </w:r>
          </w:p>
        </w:tc>
        <w:tc>
          <w:tcPr>
            <w:tcW w:w="2960" w:type="dxa"/>
            <w:vAlign w:val="bottom"/>
          </w:tcPr>
          <w:p>
            <w:pPr>
              <w:ind w:left="960"/>
              <w:spacing w:after="0"/>
              <w:rPr>
                <w:sz w:val="20"/>
                <w:szCs w:val="20"/>
                <w:color w:val="auto"/>
              </w:rPr>
            </w:pPr>
            <w:r>
              <w:rPr>
                <w:rFonts w:ascii="Arial" w:cs="Arial" w:eastAsia="Arial" w:hAnsi="Arial"/>
                <w:sz w:val="20"/>
                <w:szCs w:val="20"/>
                <w:color w:val="auto"/>
              </w:rPr>
              <w:t>Hungary</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International, Inc.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Philippines Holding, Inc.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Texas Holdings LLC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Xylem Water Systems U.S.A., LLC</w:t>
            </w:r>
          </w:p>
        </w:tc>
        <w:tc>
          <w:tcPr>
            <w:tcW w:w="2960" w:type="dxa"/>
            <w:vAlign w:val="bottom"/>
          </w:tcPr>
          <w:p>
            <w:pPr>
              <w:ind w:left="960"/>
              <w:spacing w:after="0"/>
              <w:rPr>
                <w:sz w:val="20"/>
                <w:szCs w:val="20"/>
                <w:color w:val="auto"/>
              </w:rPr>
            </w:pPr>
            <w:r>
              <w:rPr>
                <w:rFonts w:ascii="Arial" w:cs="Arial" w:eastAsia="Arial" w:hAnsi="Arial"/>
                <w:sz w:val="20"/>
                <w:szCs w:val="20"/>
                <w:color w:val="auto"/>
              </w:rPr>
              <w:t>Delaware</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YSI (China) Limited</w:t>
            </w:r>
          </w:p>
        </w:tc>
        <w:tc>
          <w:tcPr>
            <w:tcW w:w="2960" w:type="dxa"/>
            <w:vAlign w:val="bottom"/>
          </w:tcPr>
          <w:p>
            <w:pPr>
              <w:ind w:left="960"/>
              <w:spacing w:after="0"/>
              <w:rPr>
                <w:sz w:val="20"/>
                <w:szCs w:val="20"/>
                <w:color w:val="auto"/>
              </w:rPr>
            </w:pPr>
            <w:r>
              <w:rPr>
                <w:rFonts w:ascii="Arial" w:cs="Arial" w:eastAsia="Arial" w:hAnsi="Arial"/>
                <w:sz w:val="20"/>
                <w:szCs w:val="20"/>
                <w:color w:val="auto"/>
              </w:rPr>
              <w:t>Hong Kong</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980" w:type="dxa"/>
            <w:vAlign w:val="bottom"/>
          </w:tcPr>
          <w:p>
            <w:pPr>
              <w:spacing w:after="0"/>
              <w:rPr>
                <w:sz w:val="20"/>
                <w:szCs w:val="20"/>
                <w:color w:val="auto"/>
              </w:rPr>
            </w:pPr>
            <w:r>
              <w:rPr>
                <w:rFonts w:ascii="Arial" w:cs="Arial" w:eastAsia="Arial" w:hAnsi="Arial"/>
                <w:sz w:val="20"/>
                <w:szCs w:val="20"/>
                <w:color w:val="auto"/>
              </w:rPr>
              <w:t>YSI Incorporated</w:t>
            </w:r>
          </w:p>
        </w:tc>
        <w:tc>
          <w:tcPr>
            <w:tcW w:w="2960" w:type="dxa"/>
            <w:vAlign w:val="bottom"/>
          </w:tcPr>
          <w:p>
            <w:pPr>
              <w:ind w:left="960"/>
              <w:spacing w:after="0"/>
              <w:rPr>
                <w:sz w:val="20"/>
                <w:szCs w:val="20"/>
                <w:color w:val="auto"/>
              </w:rPr>
            </w:pPr>
            <w:r>
              <w:rPr>
                <w:rFonts w:ascii="Arial" w:cs="Arial" w:eastAsia="Arial" w:hAnsi="Arial"/>
                <w:sz w:val="20"/>
                <w:szCs w:val="20"/>
                <w:color w:val="auto"/>
              </w:rPr>
              <w:t>Ohio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20"/>
                <w:szCs w:val="20"/>
                <w:color w:val="auto"/>
              </w:rPr>
              <w:t>YSI International, Inc.</w:t>
            </w:r>
          </w:p>
        </w:tc>
        <w:tc>
          <w:tcPr>
            <w:tcW w:w="2960" w:type="dxa"/>
            <w:vAlign w:val="bottom"/>
          </w:tcPr>
          <w:p>
            <w:pPr>
              <w:ind w:left="960"/>
              <w:spacing w:after="0"/>
              <w:rPr>
                <w:sz w:val="20"/>
                <w:szCs w:val="20"/>
                <w:color w:val="auto"/>
              </w:rPr>
            </w:pPr>
            <w:r>
              <w:rPr>
                <w:rFonts w:ascii="Arial" w:cs="Arial" w:eastAsia="Arial" w:hAnsi="Arial"/>
                <w:sz w:val="20"/>
                <w:szCs w:val="20"/>
                <w:color w:val="auto"/>
              </w:rPr>
              <w:t>Ohio</w:t>
            </w: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0980"/>
          </w:cols>
          <w:pgMar w:left="320" w:top="930" w:right="5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consent to the incorporation by reference in Registration Statement No. 333-239370 on Form S-3 and Registration Statement No. 333-177607 on Form S-8 of our reports dated February 25, 2022, relating to the financial statements of Xylem Inc. (the “Company”), and the effectiveness of the Company’s internal control over financial reporting appearing in this Annual Report on Form 10-K for the year ended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82"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5" w:lineRule="exact"/>
        <w:rPr>
          <w:sz w:val="20"/>
          <w:szCs w:val="20"/>
          <w:color w:val="auto"/>
        </w:rPr>
      </w:pPr>
    </w:p>
    <w:p>
      <w:pPr>
        <w:ind w:left="320" w:hanging="313"/>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2021;</w:t>
      </w:r>
    </w:p>
    <w:p>
      <w:pPr>
        <w:spacing w:after="0" w:line="115" w:lineRule="exact"/>
        <w:rPr>
          <w:rFonts w:ascii="Arial" w:cs="Arial" w:eastAsia="Arial" w:hAnsi="Arial"/>
          <w:sz w:val="18"/>
          <w:szCs w:val="18"/>
          <w:color w:val="auto"/>
        </w:rPr>
      </w:pPr>
    </w:p>
    <w:p>
      <w:pPr>
        <w:ind w:left="340" w:right="140" w:hanging="333"/>
        <w:spacing w:after="0" w:line="254"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40" w:right="220" w:hanging="333"/>
        <w:spacing w:after="0" w:line="289"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340" w:right="180" w:hanging="333"/>
        <w:spacing w:after="0" w:line="263" w:lineRule="auto"/>
        <w:tabs>
          <w:tab w:leader="none" w:pos="3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5" w:lineRule="exact"/>
        <w:rPr>
          <w:rFonts w:ascii="Arial" w:cs="Arial" w:eastAsia="Arial" w:hAnsi="Arial"/>
          <w:sz w:val="17"/>
          <w:szCs w:val="17"/>
          <w:color w:val="auto"/>
        </w:rPr>
      </w:pPr>
    </w:p>
    <w:p>
      <w:pPr>
        <w:ind w:left="660" w:right="120" w:hanging="330"/>
        <w:spacing w:after="0" w:line="254" w:lineRule="auto"/>
        <w:tabs>
          <w:tab w:leader="none" w:pos="6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60" w:right="220" w:hanging="330"/>
        <w:spacing w:after="0" w:line="254" w:lineRule="auto"/>
        <w:tabs>
          <w:tab w:leader="none" w:pos="6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660" w:right="160" w:hanging="330"/>
        <w:spacing w:after="0" w:line="254" w:lineRule="auto"/>
        <w:tabs>
          <w:tab w:leader="none" w:pos="6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jc w:val="both"/>
        <w:ind w:left="660" w:right="40" w:hanging="330"/>
        <w:spacing w:after="0" w:line="254" w:lineRule="auto"/>
        <w:tabs>
          <w:tab w:leader="none" w:pos="6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40" w:right="200" w:hanging="333"/>
        <w:spacing w:after="0" w:line="254"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60" w:right="340" w:hanging="330"/>
        <w:spacing w:after="0" w:line="289" w:lineRule="auto"/>
        <w:tabs>
          <w:tab w:leader="none" w:pos="65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660" w:right="560" w:hanging="330"/>
        <w:spacing w:after="0" w:line="259" w:lineRule="auto"/>
        <w:tabs>
          <w:tab w:leader="none" w:pos="6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1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5715</wp:posOffset>
            </wp:positionV>
            <wp:extent cx="25939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Patrick K. Decker</w:t>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5"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2021;</w:t>
      </w:r>
    </w:p>
    <w:p>
      <w:pPr>
        <w:spacing w:after="0" w:line="115" w:lineRule="exact"/>
        <w:rPr>
          <w:rFonts w:ascii="Arial" w:cs="Arial" w:eastAsia="Arial" w:hAnsi="Arial"/>
          <w:sz w:val="18"/>
          <w:szCs w:val="18"/>
          <w:color w:val="auto"/>
        </w:rPr>
      </w:pPr>
    </w:p>
    <w:p>
      <w:pPr>
        <w:ind w:left="340" w:right="140" w:hanging="333"/>
        <w:spacing w:after="0" w:line="254"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40" w:right="220" w:hanging="333"/>
        <w:spacing w:after="0" w:line="289"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340" w:right="180" w:hanging="333"/>
        <w:spacing w:after="0" w:line="263"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5" w:lineRule="exact"/>
        <w:rPr>
          <w:rFonts w:ascii="Arial" w:cs="Arial" w:eastAsia="Arial" w:hAnsi="Arial"/>
          <w:sz w:val="17"/>
          <w:szCs w:val="17"/>
          <w:color w:val="auto"/>
        </w:rPr>
      </w:pPr>
    </w:p>
    <w:p>
      <w:pPr>
        <w:ind w:left="660" w:right="120" w:hanging="330"/>
        <w:spacing w:after="0" w:line="254" w:lineRule="auto"/>
        <w:tabs>
          <w:tab w:leader="none" w:pos="6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60" w:right="220" w:hanging="330"/>
        <w:spacing w:after="0" w:line="254" w:lineRule="auto"/>
        <w:tabs>
          <w:tab w:leader="none" w:pos="6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660" w:right="160" w:hanging="330"/>
        <w:spacing w:after="0" w:line="254"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jc w:val="both"/>
        <w:ind w:left="660" w:right="40" w:hanging="330"/>
        <w:spacing w:after="0" w:line="254" w:lineRule="auto"/>
        <w:tabs>
          <w:tab w:leader="none" w:pos="6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40" w:right="200" w:hanging="333"/>
        <w:spacing w:after="0" w:line="254"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60" w:right="340" w:hanging="330"/>
        <w:spacing w:after="0" w:line="289" w:lineRule="auto"/>
        <w:tabs>
          <w:tab w:leader="none" w:pos="65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660" w:right="560" w:hanging="330"/>
        <w:spacing w:after="0" w:line="259" w:lineRule="auto"/>
        <w:tabs>
          <w:tab w:leader="none" w:pos="65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2022</w:t>
      </w:r>
    </w:p>
    <w:p>
      <w:pPr>
        <w:spacing w:after="0" w:line="1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5715</wp:posOffset>
            </wp:positionV>
            <wp:extent cx="25939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spacing w:after="0" w:line="1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Sandra E. Rowland</w:t>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2"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2021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5" w:lineRule="exact"/>
        <w:rPr>
          <w:sz w:val="20"/>
          <w:szCs w:val="20"/>
          <w:color w:val="auto"/>
        </w:rPr>
      </w:pPr>
    </w:p>
    <w:p>
      <w:pPr>
        <w:ind w:left="320" w:hanging="313"/>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5" w:lineRule="exact"/>
        <w:rPr>
          <w:rFonts w:ascii="Arial" w:cs="Arial" w:eastAsia="Arial" w:hAnsi="Arial"/>
          <w:sz w:val="18"/>
          <w:szCs w:val="18"/>
          <w:color w:val="auto"/>
        </w:rPr>
      </w:pPr>
    </w:p>
    <w:p>
      <w:pPr>
        <w:ind w:left="340" w:right="400" w:hanging="333"/>
        <w:spacing w:after="0" w:line="259" w:lineRule="auto"/>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56515</wp:posOffset>
            </wp:positionV>
            <wp:extent cx="3122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pacing w:after="0" w:line="1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2"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2021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8" w:lineRule="exact"/>
        <w:rPr>
          <w:sz w:val="20"/>
          <w:szCs w:val="20"/>
          <w:color w:val="auto"/>
        </w:rPr>
      </w:pPr>
    </w:p>
    <w:p>
      <w:pPr>
        <w:ind w:left="320" w:hanging="313"/>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5" w:lineRule="exact"/>
        <w:rPr>
          <w:rFonts w:ascii="Arial" w:cs="Arial" w:eastAsia="Arial" w:hAnsi="Arial"/>
          <w:sz w:val="18"/>
          <w:szCs w:val="18"/>
          <w:color w:val="auto"/>
        </w:rPr>
      </w:pPr>
    </w:p>
    <w:p>
      <w:pPr>
        <w:ind w:left="340" w:right="400" w:hanging="333"/>
        <w:spacing w:after="0" w:line="259" w:lineRule="auto"/>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31229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pacing w:after="0" w:line="1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
      <w:numFmt w:val="bullet"/>
      <w:start w:val="1"/>
    </w:lvl>
    <w:lvl w:ilvl="1">
      <w:lvlJc w:val="left"/>
      <w:lvlText w:val="\endash "/>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1"/>
    </w:lvl>
    <w:lvl w:ilvl="1">
      <w:lvlJc w:val="left"/>
      <w:lvlText w:val="(%2)"/>
      <w:numFmt w:val="decimal"/>
      <w:start w:val="2"/>
    </w:lvl>
  </w:abstractNum>
  <w:abstractNum w:abstractNumId="39">
    <w:nsid w:val="70A64E2A"/>
    <w:multiLevelType w:val="hybridMultilevel"/>
    <w:lvl w:ilvl="0">
      <w:lvlJc w:val="left"/>
      <w:lvlText w:val="(%1)"/>
      <w:numFmt w:val="lowerRoman"/>
      <w:start w:val="5"/>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57"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31" Type="http://schemas.openxmlformats.org/officeDocument/2006/relationships/hyperlink" Target="http://www.sec.gov/Archives/edgar/data/216228/000095012311093025/y92712exv10w1.htm" TargetMode="External"/><Relationship Id="rId132" Type="http://schemas.openxmlformats.org/officeDocument/2006/relationships/hyperlink" Target="http://www.sec.gov/Archives/edgar/data/1524472/000152447217000027/a8-k31xcharter.htm" TargetMode="External"/><Relationship Id="rId133" Type="http://schemas.openxmlformats.org/officeDocument/2006/relationships/hyperlink" Target="https://www.sec.gov/Archives/edgar/data/1524472/000152447217000027/a8-k32xbyxlaws.htm" TargetMode="External"/><Relationship Id="rId134" Type="http://schemas.openxmlformats.org/officeDocument/2006/relationships/hyperlink" Target="https://www.sec.gov/Archives/edgar/data/1524472/000152447220000006/xyl12312019ex410v1.htm" TargetMode="External"/><Relationship Id="rId135" Type="http://schemas.openxmlformats.org/officeDocument/2006/relationships/hyperlink" Target="http://www.sec.gov/Archives/edgar/data/216228/000095012311085776/y92722exv4w2.htm" TargetMode="External"/><Relationship Id="rId136" Type="http://schemas.openxmlformats.org/officeDocument/2006/relationships/hyperlink" Target="http://www.sec.gov/Archives/edgar/data/1524472/000119312516501188/d161514dex41.htm" TargetMode="External"/><Relationship Id="rId137" Type="http://schemas.openxmlformats.org/officeDocument/2006/relationships/hyperlink" Target="http://www.sec.gov/Archives/edgar/data/1524472/000119312516501188/d161514dex42.htm" TargetMode="External"/><Relationship Id="rId138" Type="http://schemas.openxmlformats.org/officeDocument/2006/relationships/hyperlink" Target="http://www.sec.gov/Archives/edgar/data/1524472/000119312516501188/d161514dex43.htm" TargetMode="External"/><Relationship Id="rId139" Type="http://schemas.openxmlformats.org/officeDocument/2006/relationships/hyperlink" Target="http://www.sec.gov/Archives/edgar/data/1524472/000119312516735781/d271767dex41.htm" TargetMode="External"/><Relationship Id="rId140" Type="http://schemas.openxmlformats.org/officeDocument/2006/relationships/hyperlink" Target="https://www.sec.gov/Archives/edgar/data/1524472/000119312520180917/d913118dex41.htm" TargetMode="External"/><Relationship Id="rId143" Type="http://schemas.openxmlformats.org/officeDocument/2006/relationships/hyperlink" Target="http://www.sec.gov/Archives/edgar/data/216228/000095012311093025/y92712exv10w3.htm" TargetMode="External"/><Relationship Id="rId144" Type="http://schemas.openxmlformats.org/officeDocument/2006/relationships/hyperlink" Target="http://www.sec.gov/Archives/edgar/data/1524472/000152447216000027/xyl12312015ex106.htm" TargetMode="External"/><Relationship Id="rId145" Type="http://schemas.openxmlformats.org/officeDocument/2006/relationships/hyperlink" Target="http://www.sec.gov/Archives/edgar/data/1524472/000152447213000011/xyl06302013ex101.htm" TargetMode="External"/><Relationship Id="rId146" Type="http://schemas.openxmlformats.org/officeDocument/2006/relationships/hyperlink" Target="http://www.sec.gov/Archives/edgar/data/1524472/000095012311099774/y93003exv10w11.htm" TargetMode="External"/><Relationship Id="rId147" Type="http://schemas.openxmlformats.org/officeDocument/2006/relationships/hyperlink" Target="http://www.sec.gov/Archives/edgar/data/1524472/000152447217000008/xyl12312016ex1012.htm" TargetMode="External"/><Relationship Id="rId148" Type="http://schemas.openxmlformats.org/officeDocument/2006/relationships/hyperlink" Target="http://www.sec.gov/Archives/edgar/data/1524472/000152447220000055/xyl09302020ex101.htm" TargetMode="External"/><Relationship Id="rId149" Type="http://schemas.openxmlformats.org/officeDocument/2006/relationships/hyperlink" Target="http://www.sec.gov/Archives/edgar/data/1524472/000152447216000027/xyl12312015ex1015.htm" TargetMode="External"/><Relationship Id="rId150" Type="http://schemas.openxmlformats.org/officeDocument/2006/relationships/hyperlink" Target="http://www.sec.gov/Archives/edgar/data/1524472/000152447217000039/xyl06302017ex101.htm" TargetMode="External"/><Relationship Id="rId151" Type="http://schemas.openxmlformats.org/officeDocument/2006/relationships/hyperlink" Target="http://www.sec.gov/Archives/edgar/data/1524472/000152447215000006/xyl12312014ex101.htm" TargetMode="External"/><Relationship Id="rId152" Type="http://schemas.openxmlformats.org/officeDocument/2006/relationships/hyperlink" Target="http://www.sec.gov/Archives/edgar/data/1524472/000152447213000006/xyl03312013ex101.htm" TargetMode="External"/><Relationship Id="rId153" Type="http://schemas.openxmlformats.org/officeDocument/2006/relationships/hyperlink" Target="http://www.sec.gov/Archives/edgar/data/1524472/000152447216000027/xyl12312015ex107.htm" TargetMode="External"/><Relationship Id="rId154" Type="http://schemas.openxmlformats.org/officeDocument/2006/relationships/hyperlink" Target="http://www.sec.gov/Archives/edgar/data/1524472/000152447218000006/xyl12312017ex1031.htm" TargetMode="External"/><Relationship Id="rId155" Type="http://schemas.openxmlformats.org/officeDocument/2006/relationships/hyperlink" Target="http://www.sec.gov/Archives/edgar/data/1524472/000152447218000006/xyl12312017ex1032.htm" TargetMode="External"/><Relationship Id="rId156" Type="http://schemas.openxmlformats.org/officeDocument/2006/relationships/hyperlink" Target="https://www.sec.gov/Archives/edgar/data/1524472/000152447221000012/xyl03312021ex103.htm" TargetMode="External"/><Relationship Id="rId158" Type="http://schemas.openxmlformats.org/officeDocument/2006/relationships/hyperlink" Target="https://www.sec.gov/Archives/edgar/data/1524472/000152447221000012/xyl03312021ex104.htm" TargetMode="External"/><Relationship Id="rId159" Type="http://schemas.openxmlformats.org/officeDocument/2006/relationships/hyperlink" Target="https://www.sec.gov/Archives/edgar/data/1524472/000152447221000012/xyl03312021ex105.htm" TargetMode="External"/><Relationship Id="rId160" Type="http://schemas.openxmlformats.org/officeDocument/2006/relationships/hyperlink" Target="https://www.sec.gov/Archives/edgar/data/1524472/000152447221000012/xyl03312021ex106.htm" TargetMode="External"/><Relationship Id="rId161" Type="http://schemas.openxmlformats.org/officeDocument/2006/relationships/hyperlink" Target="https://www.sec.gov/Archives/edgar/data/1524472/000152447221000027/xyl06302021ex101.htm" TargetMode="External"/><Relationship Id="rId162" Type="http://schemas.openxmlformats.org/officeDocument/2006/relationships/hyperlink" Target="http://www.sec.gov/Archives/edgar/data/1524472/000095012311099774/y93003exv10w13.htm" TargetMode="External"/><Relationship Id="rId163" Type="http://schemas.openxmlformats.org/officeDocument/2006/relationships/hyperlink" Target="http://www.sec.gov/Archives/edgar/data/1524472/000152447215000015/xyl06302015ex101.htm" TargetMode="External"/><Relationship Id="rId164" Type="http://schemas.openxmlformats.org/officeDocument/2006/relationships/hyperlink" Target="https://www.sec.gov/Archives/edgar/data/1524472/000152447221000008/xyl12312020ex1020.htm" TargetMode="External"/><Relationship Id="rId165" Type="http://schemas.openxmlformats.org/officeDocument/2006/relationships/hyperlink" Target="http://www.sec.gov/Archives/edgar/data/1524472/000152447214000007/xyl03312014ex101.htm" TargetMode="External"/><Relationship Id="rId166" Type="http://schemas.openxmlformats.org/officeDocument/2006/relationships/hyperlink" Target="https://www.sec.gov/Archives/edgar/data/1524472/000152447221000008/xyl12312020ex1023.htm" TargetMode="External"/><Relationship Id="rId167" Type="http://schemas.openxmlformats.org/officeDocument/2006/relationships/hyperlink" Target="https://www.sec.gov/Archives/edgar/data/1524472/000152447221000008/xyl12312020ex1024.htm" TargetMode="External"/><Relationship Id="rId168" Type="http://schemas.openxmlformats.org/officeDocument/2006/relationships/hyperlink" Target="https://www.sec.gov/Archives/edgar/data/1524472/000152447221000012/xyl03312021ex101.htm" TargetMode="External"/><Relationship Id="rId169" Type="http://schemas.openxmlformats.org/officeDocument/2006/relationships/hyperlink" Target="https://www.sec.gov/Archives/edgar/data/1524472/000152447221000012/xyl03312021ex102.htm" TargetMode="External"/><Relationship Id="rId170" Type="http://schemas.openxmlformats.org/officeDocument/2006/relationships/hyperlink" Target="http://www.sec.gov/Archives/edgar/data/1524472/000152447219000015/xyl03052019exhibit1034.htm" TargetMode="External"/><Relationship Id="rId171" Type="http://schemas.openxmlformats.org/officeDocument/2006/relationships/hyperlink" Target="https://www.sec.gov/Archives/edgar/data/1524472/000119312520176067/d949896dex103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2022-02-25T13:33:54Z</dcterms:created>
  <dcterms:modified xsi:type="dcterms:W3CDTF">2022-02-25T13:33:54Z</dcterms:modified>
</cp:coreProperties>
</file>