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560705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45" w:lineRule="exact"/>
        <w:rPr>
          <w:sz w:val="24"/>
          <w:szCs w:val="24"/>
          <w:color w:val="auto"/>
        </w:rPr>
      </w:pPr>
    </w:p>
    <w:p>
      <w:pPr>
        <w:ind w:left="3700" w:right="800" w:hanging="3674"/>
        <w:spacing w:after="0" w:line="461" w:lineRule="auto"/>
        <w:tabs>
          <w:tab w:leader="none" w:pos="12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220" w:hanging="1194"/>
        <w:spacing w:after="0"/>
        <w:tabs>
          <w:tab w:leader="none" w:pos="12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029" w:right="339" w:bottom="1440" w:gutter="0" w:footer="0" w:header="0"/>
        </w:sectPr>
      </w:pPr>
    </w:p>
    <w:p>
      <w:pPr>
        <w:spacing w:after="0" w:line="196" w:lineRule="exact"/>
        <w:rPr>
          <w:sz w:val="24"/>
          <w:szCs w:val="24"/>
          <w:color w:val="auto"/>
        </w:rPr>
      </w:pPr>
    </w:p>
    <w:p>
      <w:pPr>
        <w:ind w:left="36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85"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1-35229</w:t>
      </w:r>
    </w:p>
    <w:p>
      <w:pPr>
        <w:sectPr>
          <w:pgSz w:w="11900" w:h="16838" w:orient="portrait"/>
          <w:cols w:equalWidth="0" w:num="1">
            <w:col w:w="11240"/>
          </w:cols>
          <w:pgMar w:left="320" w:top="1029" w:right="339" w:bottom="1440" w:gutter="0" w:footer="0" w:header="0"/>
          <w:type w:val="continuous"/>
        </w:sectPr>
      </w:pP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Xylem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(Exact name of registrant as specified in its charter)</w:t>
      </w:r>
    </w:p>
    <w:p>
      <w:pPr>
        <w:sectPr>
          <w:pgSz w:w="11900" w:h="16838" w:orient="portrait"/>
          <w:cols w:equalWidth="0" w:num="1">
            <w:col w:w="11240"/>
          </w:cols>
          <w:pgMar w:left="320" w:top="1029" w:right="339" w:bottom="1440" w:gutter="0" w:footer="0" w:header="0"/>
          <w:type w:val="continuous"/>
        </w:sectPr>
      </w:pPr>
    </w:p>
    <w:p>
      <w:pPr>
        <w:spacing w:after="0" w:line="246"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Indiana</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45-2080495</w:t>
      </w:r>
    </w:p>
    <w:p>
      <w:pPr>
        <w:spacing w:after="0" w:line="32" w:lineRule="exact"/>
        <w:rPr>
          <w:sz w:val="24"/>
          <w:szCs w:val="24"/>
          <w:color w:val="auto"/>
        </w:rPr>
      </w:pPr>
    </w:p>
    <w:p>
      <w:pPr>
        <w:sectPr>
          <w:pgSz w:w="11900" w:h="16838" w:orient="portrait"/>
          <w:cols w:equalWidth="0" w:num="2">
            <w:col w:w="7360" w:space="720"/>
            <w:col w:w="3160"/>
          </w:cols>
          <w:pgMar w:left="320" w:top="1029" w:right="339" w:bottom="1440" w:gutter="0" w:footer="0" w:header="0"/>
          <w:type w:val="continuous"/>
        </w:sectPr>
      </w:pPr>
    </w:p>
    <w:p>
      <w:pPr>
        <w:jc w:val="center"/>
        <w:ind w:right="1380"/>
        <w:spacing w:after="0"/>
        <w:rPr>
          <w:sz w:val="20"/>
          <w:szCs w:val="20"/>
          <w:color w:val="auto"/>
        </w:rPr>
      </w:pPr>
      <w:r>
        <w:rPr>
          <w:rFonts w:ascii="Arial" w:cs="Arial" w:eastAsia="Arial" w:hAnsi="Arial"/>
          <w:sz w:val="14"/>
          <w:szCs w:val="14"/>
          <w:i w:val="1"/>
          <w:iCs w:val="1"/>
          <w:color w:val="auto"/>
        </w:rPr>
        <w:t>(State or other jurisdiction of incorporation or</w:t>
      </w:r>
    </w:p>
    <w:p>
      <w:pPr>
        <w:jc w:val="center"/>
        <w:ind w:right="1380"/>
        <w:spacing w:after="0"/>
        <w:rPr>
          <w:sz w:val="20"/>
          <w:szCs w:val="20"/>
          <w:color w:val="auto"/>
        </w:rPr>
      </w:pPr>
      <w:r>
        <w:rPr>
          <w:rFonts w:ascii="Arial" w:cs="Arial" w:eastAsia="Arial" w:hAnsi="Arial"/>
          <w:sz w:val="14"/>
          <w:szCs w:val="14"/>
          <w:i w:val="1"/>
          <w:iCs w:val="1"/>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 Identification No.)</w:t>
      </w:r>
    </w:p>
    <w:p>
      <w:pPr>
        <w:spacing w:after="0" w:line="341" w:lineRule="exact"/>
        <w:rPr>
          <w:sz w:val="24"/>
          <w:szCs w:val="24"/>
          <w:color w:val="auto"/>
        </w:rPr>
      </w:pPr>
    </w:p>
    <w:p>
      <w:pPr>
        <w:sectPr>
          <w:pgSz w:w="11900" w:h="16838" w:orient="portrait"/>
          <w:cols w:equalWidth="0" w:num="2">
            <w:col w:w="6740" w:space="720"/>
            <w:col w:w="3780"/>
          </w:cols>
          <w:pgMar w:left="320" w:top="1029" w:right="339" w:bottom="1440" w:gutter="0" w:footer="0" w:header="0"/>
          <w:type w:val="continuous"/>
        </w:sectPr>
      </w:pP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Water Street SE, Washington, DC 20003</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869-9150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212"/>
        </w:trPr>
        <w:tc>
          <w:tcPr>
            <w:tcW w:w="1320" w:type="dxa"/>
            <w:vAlign w:val="bottom"/>
          </w:tcPr>
          <w:p>
            <w:pPr>
              <w:spacing w:after="0"/>
              <w:rPr>
                <w:sz w:val="18"/>
                <w:szCs w:val="18"/>
                <w:color w:val="auto"/>
              </w:rPr>
            </w:pPr>
          </w:p>
        </w:tc>
        <w:tc>
          <w:tcPr>
            <w:tcW w:w="336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w w:val="99"/>
              </w:rPr>
              <w:t>Title of each class</w:t>
            </w:r>
          </w:p>
        </w:tc>
        <w:tc>
          <w:tcPr>
            <w:tcW w:w="250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8"/>
              </w:rPr>
              <w:t>Trading Symbol(s)</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of which registered</w:t>
            </w:r>
          </w:p>
        </w:tc>
      </w:tr>
      <w:tr>
        <w:trPr>
          <w:trHeight w:val="20"/>
        </w:trPr>
        <w:tc>
          <w:tcPr>
            <w:tcW w:w="1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r>
      <w:tr>
        <w:trPr>
          <w:trHeight w:val="245"/>
        </w:trPr>
        <w:tc>
          <w:tcPr>
            <w:tcW w:w="468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Common Stock, par value $0.01 per share</w:t>
            </w:r>
          </w:p>
        </w:tc>
        <w:tc>
          <w:tcPr>
            <w:tcW w:w="100" w:type="dxa"/>
            <w:vAlign w:val="bottom"/>
          </w:tcPr>
          <w:p>
            <w:pPr>
              <w:spacing w:after="0"/>
              <w:rPr>
                <w:sz w:val="21"/>
                <w:szCs w:val="21"/>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XYL</w:t>
            </w: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r>
        <w:trPr>
          <w:trHeight w:val="239"/>
        </w:trPr>
        <w:tc>
          <w:tcPr>
            <w:tcW w:w="468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2.250% Senior Notes due 2023</w:t>
            </w:r>
          </w:p>
        </w:tc>
        <w:tc>
          <w:tcPr>
            <w:tcW w:w="100" w:type="dxa"/>
            <w:vAlign w:val="bottom"/>
          </w:tcPr>
          <w:p>
            <w:pPr>
              <w:spacing w:after="0"/>
              <w:rPr>
                <w:sz w:val="20"/>
                <w:szCs w:val="20"/>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XYL23</w:t>
            </w: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234" w:lineRule="exact"/>
        <w:rPr>
          <w:sz w:val="24"/>
          <w:szCs w:val="24"/>
          <w:color w:val="auto"/>
        </w:rPr>
      </w:pPr>
    </w:p>
    <w:p>
      <w:pPr>
        <w:ind w:right="60"/>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260"/>
        <w:spacing w:after="0" w:line="22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57"/>
        </w:trPr>
        <w:tc>
          <w:tcPr>
            <w:tcW w:w="22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84"/>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8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921"/>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line="235"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97" w:lineRule="exact"/>
        <w:rPr>
          <w:sz w:val="20"/>
          <w:szCs w:val="20"/>
          <w:color w:val="auto"/>
        </w:rPr>
      </w:pPr>
    </w:p>
    <w:p>
      <w:pPr>
        <w:ind w:right="540"/>
        <w:spacing w:after="0" w:line="28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29, 2022, there were 180,181,765 outstanding shares of the registrant’s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40"/>
          </w:cols>
          <w:pgMar w:left="320" w:top="607"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40" w:type="dxa"/>
            <w:vAlign w:val="bottom"/>
            <w:gridSpan w:val="10"/>
          </w:tcPr>
          <w:p>
            <w:pPr>
              <w:jc w:val="center"/>
              <w:ind w:right="2960"/>
              <w:spacing w:after="0"/>
              <w:rPr>
                <w:sz w:val="20"/>
                <w:szCs w:val="20"/>
                <w:color w:val="auto"/>
              </w:rPr>
            </w:pPr>
            <w:r>
              <w:rPr>
                <w:rFonts w:ascii="Arial" w:cs="Arial" w:eastAsia="Arial" w:hAnsi="Arial"/>
                <w:sz w:val="18"/>
                <w:szCs w:val="18"/>
                <w:b w:val="1"/>
                <w:bCs w:val="1"/>
                <w:color w:val="auto"/>
                <w:w w:val="98"/>
              </w:rPr>
              <w:t>Xylem Inc.</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gridSpan w:val="10"/>
          </w:tcPr>
          <w:p>
            <w:pPr>
              <w:jc w:val="center"/>
              <w:ind w:right="2940"/>
              <w:spacing w:after="0"/>
              <w:rPr>
                <w:sz w:val="20"/>
                <w:szCs w:val="20"/>
                <w:color w:val="auto"/>
              </w:rPr>
            </w:pPr>
            <w:r>
              <w:rPr>
                <w:rFonts w:ascii="Arial" w:cs="Arial" w:eastAsia="Arial" w:hAnsi="Arial"/>
                <w:sz w:val="18"/>
                <w:szCs w:val="18"/>
                <w:b w:val="1"/>
                <w:bCs w:val="1"/>
                <w:color w:val="auto"/>
                <w:w w:val="98"/>
              </w:rPr>
              <w:t>Table of Contents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ITEM</w:t>
            </w:r>
          </w:p>
        </w:tc>
        <w:tc>
          <w:tcPr>
            <w:tcW w:w="7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00" w:type="dxa"/>
            <w:vAlign w:val="bottom"/>
            <w:gridSpan w:val="15"/>
          </w:tcPr>
          <w:p>
            <w:pPr>
              <w:jc w:val="center"/>
              <w:ind w:right="3700"/>
              <w:spacing w:after="0"/>
              <w:rPr>
                <w:sz w:val="20"/>
                <w:szCs w:val="20"/>
                <w:color w:val="auto"/>
              </w:rPr>
            </w:pPr>
            <w:r>
              <w:rPr>
                <w:rFonts w:ascii="Arial" w:cs="Arial" w:eastAsia="Arial" w:hAnsi="Arial"/>
                <w:sz w:val="18"/>
                <w:szCs w:val="18"/>
                <w:b w:val="1"/>
                <w:bCs w:val="1"/>
                <w:color w:val="auto"/>
                <w:w w:val="99"/>
              </w:rPr>
              <w:t>PART I – Financial Information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95"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0000FF"/>
            </w:tcBorders>
            <w:gridSpan w:val="7"/>
          </w:tcPr>
          <w:p>
            <w:pPr>
              <w:spacing w:after="0" w:line="195" w:lineRule="exact"/>
              <w:rPr>
                <w:sz w:val="20"/>
                <w:szCs w:val="20"/>
                <w:color w:val="auto"/>
              </w:rPr>
            </w:pPr>
            <w:r>
              <w:rPr>
                <w:rFonts w:ascii="Arial" w:cs="Arial" w:eastAsia="Arial" w:hAnsi="Arial"/>
                <w:sz w:val="18"/>
                <w:szCs w:val="18"/>
                <w:color w:val="0000FF"/>
                <w:w w:val="99"/>
              </w:rPr>
              <w:t>Financial Statements:</w:t>
            </w:r>
          </w:p>
        </w:tc>
        <w:tc>
          <w:tcPr>
            <w:tcW w:w="6060" w:type="dxa"/>
            <w:vAlign w:val="bottom"/>
            <w:gridSpan w:val="14"/>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21"/>
          </w:tcPr>
          <w:p>
            <w:pPr>
              <w:spacing w:after="0"/>
              <w:rPr>
                <w:sz w:val="20"/>
                <w:szCs w:val="20"/>
                <w:color w:val="auto"/>
              </w:rPr>
            </w:pPr>
            <w:r>
              <w:rPr>
                <w:rFonts w:ascii="Arial" w:cs="Arial" w:eastAsia="Arial" w:hAnsi="Arial"/>
                <w:sz w:val="18"/>
                <w:szCs w:val="18"/>
                <w:color w:val="0000FF"/>
              </w:rPr>
              <w:t>Condensed Consolidated Income Statements for the Three and Six Months Ended June 30,</w:t>
            </w:r>
          </w:p>
        </w:tc>
        <w:tc>
          <w:tcPr>
            <w:tcW w:w="15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32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2022 and 2021 (Unaudited)</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0" w:type="dxa"/>
            <w:vAlign w:val="bottom"/>
            <w:gridSpan w:val="21"/>
          </w:tcPr>
          <w:p>
            <w:pPr>
              <w:spacing w:after="0" w:line="203" w:lineRule="exact"/>
              <w:rPr>
                <w:sz w:val="20"/>
                <w:szCs w:val="20"/>
                <w:color w:val="auto"/>
              </w:rPr>
            </w:pPr>
            <w:r>
              <w:rPr>
                <w:rFonts w:ascii="Arial" w:cs="Arial" w:eastAsia="Arial" w:hAnsi="Arial"/>
                <w:sz w:val="18"/>
                <w:szCs w:val="18"/>
                <w:color w:val="0000FF"/>
              </w:rPr>
              <w:t>Condensed Consolidated Statements of Comprehensive Income for the Three and Six</w:t>
            </w:r>
          </w:p>
        </w:tc>
        <w:tc>
          <w:tcPr>
            <w:tcW w:w="140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Months Ended June 30, 2022 and 2021 (Unaudited)</w:t>
            </w:r>
          </w:p>
        </w:tc>
        <w:tc>
          <w:tcPr>
            <w:tcW w:w="5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0" w:type="dxa"/>
            <w:vAlign w:val="bottom"/>
            <w:gridSpan w:val="21"/>
            <w:vMerge w:val="restart"/>
          </w:tcPr>
          <w:p>
            <w:pPr>
              <w:spacing w:after="0"/>
              <w:rPr>
                <w:sz w:val="20"/>
                <w:szCs w:val="20"/>
                <w:color w:val="auto"/>
              </w:rPr>
            </w:pPr>
            <w:r>
              <w:rPr>
                <w:rFonts w:ascii="Arial" w:cs="Arial" w:eastAsia="Arial" w:hAnsi="Arial"/>
                <w:sz w:val="18"/>
                <w:szCs w:val="18"/>
                <w:color w:val="0000FF"/>
              </w:rPr>
              <w:t>Condensed Consolidated Balance Sheets as of June 30, 2022 and December 31, 2021</w:t>
            </w: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0" w:type="dxa"/>
            <w:vAlign w:val="bottom"/>
            <w:gridSpan w:val="21"/>
            <w:vMerge w:val="continue"/>
          </w:tcPr>
          <w:p>
            <w:pPr>
              <w:spacing w:after="0"/>
              <w:rPr>
                <w:sz w:val="17"/>
                <w:szCs w:val="17"/>
                <w:color w:val="auto"/>
              </w:rPr>
            </w:pPr>
          </w:p>
        </w:tc>
        <w:tc>
          <w:tcPr>
            <w:tcW w:w="140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960" w:type="dxa"/>
            <w:vAlign w:val="bottom"/>
            <w:tcBorders>
              <w:top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(Unaudited)</w:t>
            </w:r>
          </w:p>
        </w:tc>
        <w:tc>
          <w:tcPr>
            <w:tcW w:w="12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0" w:type="dxa"/>
            <w:vAlign w:val="bottom"/>
            <w:gridSpan w:val="21"/>
          </w:tcPr>
          <w:p>
            <w:pPr>
              <w:spacing w:after="0" w:line="203" w:lineRule="exact"/>
              <w:rPr>
                <w:sz w:val="20"/>
                <w:szCs w:val="20"/>
                <w:color w:val="auto"/>
              </w:rPr>
            </w:pPr>
            <w:r>
              <w:rPr>
                <w:rFonts w:ascii="Arial" w:cs="Arial" w:eastAsia="Arial" w:hAnsi="Arial"/>
                <w:sz w:val="18"/>
                <w:szCs w:val="18"/>
                <w:color w:val="0000FF"/>
              </w:rPr>
              <w:t>Condensed Consolidated Statements of Cash Flows for the Six Months Ended June 30, 2022</w:t>
            </w:r>
          </w:p>
        </w:tc>
        <w:tc>
          <w:tcPr>
            <w:tcW w:w="140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6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and 2021 (Unaudited)</w:t>
            </w:r>
          </w:p>
        </w:tc>
        <w:tc>
          <w:tcPr>
            <w:tcW w:w="1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gridSpan w:val="2"/>
          </w:tcPr>
          <w:p>
            <w:pPr>
              <w:spacing w:after="0"/>
              <w:rPr>
                <w:sz w:val="13"/>
                <w:szCs w:val="13"/>
                <w:color w:val="auto"/>
              </w:rPr>
            </w:pPr>
          </w:p>
        </w:tc>
        <w:tc>
          <w:tcPr>
            <w:tcW w:w="2160" w:type="dxa"/>
            <w:vAlign w:val="bottom"/>
            <w:tcBorders>
              <w:top w:val="single" w:sz="8" w:color="0000FF"/>
            </w:tcBorders>
            <w:gridSpan w:val="2"/>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gridSpan w:val="3"/>
          </w:tcPr>
          <w:p>
            <w:pPr>
              <w:spacing w:after="0"/>
              <w:rPr>
                <w:sz w:val="13"/>
                <w:szCs w:val="13"/>
                <w:color w:val="auto"/>
              </w:rPr>
            </w:pPr>
          </w:p>
        </w:tc>
        <w:tc>
          <w:tcPr>
            <w:tcW w:w="360" w:type="dxa"/>
            <w:vAlign w:val="bottom"/>
            <w:tcBorders>
              <w:top w:val="single" w:sz="8" w:color="0000FF"/>
            </w:tcBorders>
            <w:gridSpan w:val="2"/>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gridSpan w:val="3"/>
            <w:shd w:val="clear" w:color="auto" w:fill="0000FF"/>
          </w:tcPr>
          <w:p>
            <w:pPr>
              <w:spacing w:after="0"/>
              <w:rPr>
                <w:sz w:val="2"/>
                <w:szCs w:val="2"/>
                <w:color w:val="auto"/>
              </w:rPr>
            </w:pPr>
          </w:p>
        </w:tc>
        <w:tc>
          <w:tcPr>
            <w:tcW w:w="620" w:type="dxa"/>
            <w:vAlign w:val="bottom"/>
            <w:gridSpan w:val="2"/>
          </w:tcPr>
          <w:p>
            <w:pPr>
              <w:spacing w:after="0"/>
              <w:rPr>
                <w:sz w:val="2"/>
                <w:szCs w:val="2"/>
                <w:color w:val="auto"/>
              </w:rPr>
            </w:pPr>
          </w:p>
        </w:tc>
        <w:tc>
          <w:tcPr>
            <w:tcW w:w="2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720" w:type="dxa"/>
            <w:vAlign w:val="bottom"/>
            <w:gridSpan w:val="3"/>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gridSpan w:val="15"/>
          </w:tcPr>
          <w:p>
            <w:pPr>
              <w:spacing w:after="0"/>
              <w:rPr>
                <w:sz w:val="20"/>
                <w:szCs w:val="20"/>
                <w:color w:val="auto"/>
              </w:rPr>
            </w:pPr>
            <w:r>
              <w:rPr>
                <w:rFonts w:ascii="Arial" w:cs="Arial" w:eastAsia="Arial" w:hAnsi="Arial"/>
                <w:sz w:val="18"/>
                <w:szCs w:val="18"/>
                <w:color w:val="0000FF"/>
                <w:w w:val="99"/>
              </w:rPr>
              <w:t>Notes to the Condensed Consolidated Financial Statements (Unaudited)</w:t>
            </w:r>
          </w:p>
        </w:tc>
        <w:tc>
          <w:tcPr>
            <w:tcW w:w="2020" w:type="dxa"/>
            <w:vAlign w:val="bottom"/>
            <w:gridSpan w:val="6"/>
          </w:tcPr>
          <w:p>
            <w:pPr>
              <w:spacing w:after="0"/>
              <w:rPr>
                <w:sz w:val="18"/>
                <w:szCs w:val="18"/>
                <w:color w:val="auto"/>
              </w:rPr>
            </w:pPr>
          </w:p>
        </w:tc>
        <w:tc>
          <w:tcPr>
            <w:tcW w:w="140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gridSpan w:val="22"/>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Management’s Discussion and Analysis of Financial Condition and Results of Operations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gridSpan w:val="22"/>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Quantitative and Qualitative Disclosures About Market Risk</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53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9"/>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4"/>
          </w:tcPr>
          <w:p>
            <w:pPr>
              <w:spacing w:after="0"/>
              <w:rPr>
                <w:sz w:val="18"/>
                <w:szCs w:val="18"/>
                <w:color w:val="auto"/>
              </w:rPr>
            </w:pPr>
          </w:p>
        </w:tc>
        <w:tc>
          <w:tcPr>
            <w:tcW w:w="3080" w:type="dxa"/>
            <w:vAlign w:val="bottom"/>
            <w:gridSpan w:val="8"/>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300" w:type="dxa"/>
            <w:vAlign w:val="bottom"/>
            <w:gridSpan w:val="15"/>
          </w:tcPr>
          <w:p>
            <w:pPr>
              <w:jc w:val="center"/>
              <w:ind w:right="3680"/>
              <w:spacing w:after="0"/>
              <w:rPr>
                <w:sz w:val="20"/>
                <w:szCs w:val="20"/>
                <w:color w:val="auto"/>
              </w:rPr>
            </w:pPr>
            <w:r>
              <w:rPr>
                <w:rFonts w:ascii="Arial" w:cs="Arial" w:eastAsia="Arial" w:hAnsi="Arial"/>
                <w:sz w:val="18"/>
                <w:szCs w:val="18"/>
                <w:b w:val="1"/>
                <w:bCs w:val="1"/>
                <w:color w:val="auto"/>
                <w:w w:val="99"/>
              </w:rPr>
              <w:t>PART II – Other Information</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95" w:lineRule="exact"/>
              <w:rPr>
                <w:sz w:val="20"/>
                <w:szCs w:val="20"/>
                <w:color w:val="auto"/>
              </w:rPr>
            </w:pPr>
            <w:r>
              <w:rPr>
                <w:rFonts w:ascii="Arial" w:cs="Arial" w:eastAsia="Arial" w:hAnsi="Arial"/>
                <w:sz w:val="18"/>
                <w:szCs w:val="18"/>
                <w:color w:val="auto"/>
              </w:rPr>
              <w:t>-</w:t>
            </w:r>
          </w:p>
        </w:tc>
        <w:tc>
          <w:tcPr>
            <w:tcW w:w="1500" w:type="dxa"/>
            <w:vAlign w:val="bottom"/>
            <w:gridSpan w:val="6"/>
          </w:tcPr>
          <w:p>
            <w:pPr>
              <w:spacing w:after="0" w:line="195" w:lineRule="exact"/>
              <w:rPr>
                <w:sz w:val="20"/>
                <w:szCs w:val="20"/>
                <w:color w:val="auto"/>
              </w:rPr>
            </w:pPr>
            <w:r>
              <w:rPr>
                <w:rFonts w:ascii="Arial" w:cs="Arial" w:eastAsia="Arial" w:hAnsi="Arial"/>
                <w:sz w:val="18"/>
                <w:szCs w:val="18"/>
                <w:color w:val="0000FF"/>
                <w:w w:val="99"/>
              </w:rPr>
              <w:t>Legal Proceedings</w:t>
            </w:r>
          </w:p>
        </w:tc>
        <w:tc>
          <w:tcPr>
            <w:tcW w:w="6300" w:type="dxa"/>
            <w:vAlign w:val="bottom"/>
            <w:gridSpan w:val="15"/>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w w:val="89"/>
              </w:rPr>
              <w:t>54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1A</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6300" w:type="dxa"/>
            <w:vAlign w:val="bottom"/>
            <w:gridSpan w:val="15"/>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gridSpan w:val="22"/>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Unregistered Sales of Equity Securities and Use of Proceeds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54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2940" w:type="dxa"/>
            <w:vAlign w:val="bottom"/>
            <w:gridSpan w:val="7"/>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gridSpan w:val="22"/>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Defaults Upon Senior Securities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54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9"/>
          </w:tcPr>
          <w:p>
            <w:pPr>
              <w:spacing w:after="0"/>
              <w:rPr>
                <w:sz w:val="20"/>
                <w:szCs w:val="20"/>
                <w:color w:val="auto"/>
              </w:rPr>
            </w:pPr>
            <w:r>
              <w:rPr>
                <w:rFonts w:ascii="Arial" w:cs="Arial" w:eastAsia="Arial" w:hAnsi="Arial"/>
                <w:sz w:val="18"/>
                <w:szCs w:val="18"/>
                <w:color w:val="0000FF"/>
                <w:w w:val="98"/>
              </w:rPr>
              <w:t>Mine Safety Disclosures</w:t>
            </w:r>
          </w:p>
        </w:tc>
        <w:tc>
          <w:tcPr>
            <w:tcW w:w="620" w:type="dxa"/>
            <w:vAlign w:val="bottom"/>
            <w:gridSpan w:val="2"/>
          </w:tcPr>
          <w:p>
            <w:pPr>
              <w:spacing w:after="0"/>
              <w:rPr>
                <w:sz w:val="18"/>
                <w:szCs w:val="18"/>
                <w:color w:val="auto"/>
              </w:rPr>
            </w:pPr>
          </w:p>
        </w:tc>
        <w:tc>
          <w:tcPr>
            <w:tcW w:w="5240" w:type="dxa"/>
            <w:vAlign w:val="bottom"/>
            <w:gridSpan w:val="10"/>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5</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9"/>
          </w:tcPr>
          <w:p>
            <w:pPr>
              <w:spacing w:after="0"/>
              <w:rPr>
                <w:sz w:val="20"/>
                <w:szCs w:val="20"/>
                <w:color w:val="auto"/>
              </w:rPr>
            </w:pPr>
            <w:r>
              <w:rPr>
                <w:rFonts w:ascii="Arial" w:cs="Arial" w:eastAsia="Arial" w:hAnsi="Arial"/>
                <w:sz w:val="18"/>
                <w:szCs w:val="18"/>
                <w:color w:val="0000FF"/>
              </w:rPr>
              <w:t>Other Information</w:t>
            </w:r>
          </w:p>
        </w:tc>
        <w:tc>
          <w:tcPr>
            <w:tcW w:w="5860" w:type="dxa"/>
            <w:vAlign w:val="bottom"/>
            <w:gridSpan w:val="12"/>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400" w:type="dxa"/>
            <w:vAlign w:val="bottom"/>
            <w:gridSpan w:val="1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6</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6400" w:type="dxa"/>
            <w:vAlign w:val="bottom"/>
            <w:gridSpan w:val="16"/>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gridSpan w:val="19"/>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21"/>
          </w:tcPr>
          <w:p>
            <w:pPr>
              <w:spacing w:after="0"/>
              <w:rPr>
                <w:sz w:val="20"/>
                <w:szCs w:val="20"/>
                <w:color w:val="auto"/>
              </w:rPr>
            </w:pPr>
            <w:r>
              <w:rPr>
                <w:rFonts w:ascii="Arial" w:cs="Arial" w:eastAsia="Arial" w:hAnsi="Arial"/>
                <w:sz w:val="18"/>
                <w:szCs w:val="18"/>
                <w:color w:val="0000FF"/>
              </w:rPr>
              <w:t>Signatures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56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INCOME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6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w:t>
            </w:r>
          </w:p>
        </w:tc>
        <w:tc>
          <w:tcPr>
            <w:tcW w:w="28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period ended June 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2021</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Gain from sale of business</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before taxes</w:t>
            </w: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1"/>
        </w:trPr>
        <w:tc>
          <w:tcPr>
            <w:tcW w:w="582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194</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0.62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2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w:t>
            </w:r>
          </w:p>
        </w:tc>
        <w:tc>
          <w:tcPr>
            <w:tcW w:w="28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period ended June 30,</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Net change in derivative hedge agreements: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Amount of loss (gain) reclassified into net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post-retirement benefit plans: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Amortization of prior service credit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net actuarial loss into net income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4"/>
        </w:trPr>
        <w:tc>
          <w:tcPr>
            <w:tcW w:w="54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Income tax expense (benefit) related to items of other</w:t>
            </w:r>
          </w:p>
        </w:tc>
        <w:tc>
          <w:tcPr>
            <w:tcW w:w="2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5"/>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w:t>
            </w: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jc w:val="right"/>
              <w:ind w:right="2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5"/>
        </w:trPr>
        <w:tc>
          <w:tcPr>
            <w:tcW w:w="75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96"/>
        </w:trPr>
        <w:tc>
          <w:tcPr>
            <w:tcW w:w="7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24"/>
        </w:trPr>
        <w:tc>
          <w:tcPr>
            <w:tcW w:w="7540" w:type="dxa"/>
            <w:vAlign w:val="bottom"/>
          </w:tcPr>
          <w:p>
            <w:pPr>
              <w:ind w:left="360"/>
              <w:spacing w:after="0"/>
              <w:rPr>
                <w:sz w:val="20"/>
                <w:szCs w:val="20"/>
                <w:color w:val="auto"/>
              </w:rPr>
            </w:pPr>
            <w:r>
              <w:rPr>
                <w:rFonts w:ascii="Arial" w:cs="Arial" w:eastAsia="Arial" w:hAnsi="Arial"/>
                <w:sz w:val="18"/>
                <w:szCs w:val="18"/>
                <w:color w:val="auto"/>
              </w:rPr>
              <w:t>Receivables, less allowances for discounts, returns and credit losses of $41 and $44 in</w:t>
            </w: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7540" w:type="dxa"/>
            <w:vAlign w:val="bottom"/>
          </w:tcPr>
          <w:p>
            <w:pPr>
              <w:ind w:left="360"/>
              <w:spacing w:after="0"/>
              <w:rPr>
                <w:sz w:val="20"/>
                <w:szCs w:val="20"/>
                <w:color w:val="auto"/>
              </w:rPr>
            </w:pPr>
            <w:r>
              <w:rPr>
                <w:rFonts w:ascii="Arial" w:cs="Arial" w:eastAsia="Arial" w:hAnsi="Arial"/>
                <w:sz w:val="18"/>
                <w:szCs w:val="18"/>
                <w:color w:val="auto"/>
              </w:rPr>
              <w:t>2022 and 2021, respectively</w:t>
            </w:r>
          </w:p>
        </w:tc>
        <w:tc>
          <w:tcPr>
            <w:tcW w:w="12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1,024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2,714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Other intangible assets, net</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3"/>
        </w:trPr>
        <w:tc>
          <w:tcPr>
            <w:tcW w:w="7540" w:type="dxa"/>
            <w:vAlign w:val="bottom"/>
          </w:tcPr>
          <w:p>
            <w:pPr>
              <w:ind w:left="140"/>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8,189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8,276</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Accrued and other current liabilities</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 and current maturities of long-term debt</w:t>
            </w: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1,951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1,879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Accrued post-retirement benefits</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liabilities</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accrued liabilities</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w:t>
            </w: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4,986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w:t>
            </w:r>
          </w:p>
        </w:tc>
        <w:tc>
          <w:tcPr>
            <w:tcW w:w="0" w:type="dxa"/>
            <w:vAlign w:val="bottom"/>
          </w:tcPr>
          <w:p>
            <w:pPr>
              <w:spacing w:after="0"/>
              <w:rPr>
                <w:sz w:val="1"/>
                <w:szCs w:val="1"/>
                <w:color w:val="auto"/>
              </w:rPr>
            </w:pPr>
          </w:p>
        </w:tc>
      </w:tr>
      <w:tr>
        <w:trPr>
          <w:trHeight w:val="210"/>
        </w:trPr>
        <w:tc>
          <w:tcPr>
            <w:tcW w:w="7540" w:type="dxa"/>
            <w:vAlign w:val="bottom"/>
          </w:tcPr>
          <w:p>
            <w:pPr>
              <w:ind w:left="140"/>
              <w:spacing w:after="0"/>
              <w:rPr>
                <w:sz w:val="20"/>
                <w:szCs w:val="20"/>
                <w:color w:val="auto"/>
              </w:rPr>
            </w:pPr>
            <w:r>
              <w:rPr>
                <w:rFonts w:ascii="Arial" w:cs="Arial" w:eastAsia="Arial" w:hAnsi="Arial"/>
                <w:sz w:val="18"/>
                <w:szCs w:val="18"/>
                <w:color w:val="auto"/>
              </w:rPr>
              <w:t>Commitments and contingencies (Note 16)</w:t>
            </w: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 equity:</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Common Stock – par value $0.01 per share:</w:t>
            </w: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540" w:type="dxa"/>
            <w:vAlign w:val="bottom"/>
            <w:shd w:val="clear" w:color="auto" w:fill="CCEEFF"/>
          </w:tcPr>
          <w:p>
            <w:pPr>
              <w:ind w:left="480"/>
              <w:spacing w:after="0" w:line="183" w:lineRule="exact"/>
              <w:rPr>
                <w:sz w:val="20"/>
                <w:szCs w:val="20"/>
                <w:color w:val="auto"/>
              </w:rPr>
            </w:pPr>
            <w:r>
              <w:rPr>
                <w:rFonts w:ascii="Arial" w:cs="Arial" w:eastAsia="Arial" w:hAnsi="Arial"/>
                <w:sz w:val="18"/>
                <w:szCs w:val="18"/>
                <w:color w:val="auto"/>
              </w:rPr>
              <w:t>Authorized 750.0 shares, issued 195.9 shares and 195.6 shares in 2022 and 2021,</w:t>
            </w:r>
          </w:p>
        </w:tc>
        <w:tc>
          <w:tcPr>
            <w:tcW w:w="12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5"/>
        </w:trPr>
        <w:tc>
          <w:tcPr>
            <w:tcW w:w="75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respectively</w:t>
            </w:r>
          </w:p>
        </w:tc>
        <w:tc>
          <w:tcPr>
            <w:tcW w:w="1260" w:type="dxa"/>
            <w:vAlign w:val="bottom"/>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360"/>
              <w:spacing w:after="0"/>
              <w:rPr>
                <w:sz w:val="20"/>
                <w:szCs w:val="20"/>
                <w:color w:val="auto"/>
              </w:rPr>
            </w:pPr>
            <w:r>
              <w:rPr>
                <w:rFonts w:ascii="Arial" w:cs="Arial" w:eastAsia="Arial" w:hAnsi="Arial"/>
                <w:sz w:val="18"/>
                <w:szCs w:val="18"/>
                <w:color w:val="auto"/>
              </w:rPr>
              <w:t>Capital in excess of par value</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2,111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2,238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30"/>
        </w:trPr>
        <w:tc>
          <w:tcPr>
            <w:tcW w:w="7540" w:type="dxa"/>
            <w:vAlign w:val="bottom"/>
          </w:tcPr>
          <w:p>
            <w:pPr>
              <w:ind w:left="360"/>
              <w:spacing w:after="0"/>
              <w:rPr>
                <w:sz w:val="20"/>
                <w:szCs w:val="20"/>
                <w:color w:val="auto"/>
              </w:rPr>
            </w:pPr>
            <w:r>
              <w:rPr>
                <w:rFonts w:ascii="Arial" w:cs="Arial" w:eastAsia="Arial" w:hAnsi="Arial"/>
                <w:sz w:val="18"/>
                <w:szCs w:val="18"/>
                <w:color w:val="auto"/>
              </w:rPr>
              <w:t>Treasury stock – at cost 15.8 shares and 15.2 shares in 2022 and 2021, respectively</w:t>
            </w:r>
          </w:p>
        </w:tc>
        <w:tc>
          <w:tcPr>
            <w:tcW w:w="1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3,195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equity</w:t>
            </w:r>
          </w:p>
        </w:tc>
        <w:tc>
          <w:tcPr>
            <w:tcW w:w="1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3,203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 and stockholders’ equity</w:t>
            </w: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(in millions)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six months ended June 30,</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0"/>
        </w:trPr>
        <w:tc>
          <w:tcPr>
            <w:tcW w:w="850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6"/>
                <w:szCs w:val="16"/>
                <w:color w:val="auto"/>
              </w:rPr>
              <w:t>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6"/>
                <w:szCs w:val="16"/>
                <w:color w:val="auto"/>
              </w:rPr>
              <w:t>Restructuring and asset impairment charges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from sale of business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6"/>
                <w:szCs w:val="16"/>
                <w:color w:val="auto"/>
              </w:rPr>
              <w:t>Other,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for restructuring</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5"/>
        </w:trPr>
        <w:tc>
          <w:tcPr>
            <w:tcW w:w="8500" w:type="dxa"/>
            <w:vAlign w:val="bottom"/>
          </w:tcPr>
          <w:p>
            <w:pPr>
              <w:ind w:left="140"/>
              <w:spacing w:after="0"/>
              <w:rPr>
                <w:sz w:val="20"/>
                <w:szCs w:val="20"/>
                <w:color w:val="auto"/>
              </w:rPr>
            </w:pPr>
            <w:r>
              <w:rPr>
                <w:rFonts w:ascii="Arial" w:cs="Arial" w:eastAsia="Arial" w:hAnsi="Arial"/>
                <w:sz w:val="16"/>
                <w:szCs w:val="16"/>
                <w:color w:val="auto"/>
              </w:rPr>
              <w:t>Changes in assets and liabilities (net of acquisitions):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receivables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6"/>
                <w:szCs w:val="16"/>
                <w:color w:val="auto"/>
              </w:rPr>
              <w:t>Changes in inventories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(189)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accounts payable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6"/>
        </w:trPr>
        <w:tc>
          <w:tcPr>
            <w:tcW w:w="85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850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Net Cash –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196"/>
        </w:trPr>
        <w:tc>
          <w:tcPr>
            <w:tcW w:w="850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6"/>
        </w:trPr>
        <w:tc>
          <w:tcPr>
            <w:tcW w:w="8500" w:type="dxa"/>
            <w:vAlign w:val="bottom"/>
          </w:tcPr>
          <w:p>
            <w:pPr>
              <w:ind w:left="140"/>
              <w:spacing w:after="0"/>
              <w:rPr>
                <w:sz w:val="20"/>
                <w:szCs w:val="20"/>
                <w:color w:val="auto"/>
              </w:rPr>
            </w:pPr>
            <w:r>
              <w:rPr>
                <w:rFonts w:ascii="Arial" w:cs="Arial" w:eastAsia="Arial" w:hAnsi="Arial"/>
                <w:sz w:val="16"/>
                <w:szCs w:val="16"/>
                <w:color w:val="auto"/>
              </w:rPr>
              <w:t>Proceeds from sale of business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00" w:type="dxa"/>
            <w:vAlign w:val="bottom"/>
          </w:tcPr>
          <w:p>
            <w:pPr>
              <w:ind w:left="140"/>
              <w:spacing w:after="0"/>
              <w:rPr>
                <w:sz w:val="20"/>
                <w:szCs w:val="20"/>
                <w:color w:val="auto"/>
              </w:rPr>
            </w:pPr>
            <w:r>
              <w:rPr>
                <w:rFonts w:ascii="Arial" w:cs="Arial" w:eastAsia="Arial" w:hAnsi="Arial"/>
                <w:sz w:val="16"/>
                <w:szCs w:val="16"/>
                <w:color w:val="auto"/>
              </w:rPr>
              <w:t>Cash received from investments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investments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Net Cash –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96"/>
        </w:trPr>
        <w:tc>
          <w:tcPr>
            <w:tcW w:w="850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6"/>
        </w:trPr>
        <w:tc>
          <w:tcPr>
            <w:tcW w:w="8500" w:type="dxa"/>
            <w:vAlign w:val="bottom"/>
          </w:tcPr>
          <w:p>
            <w:pPr>
              <w:ind w:left="140"/>
              <w:spacing w:after="0"/>
              <w:rPr>
                <w:sz w:val="20"/>
                <w:szCs w:val="20"/>
                <w:color w:val="auto"/>
              </w:rPr>
            </w:pPr>
            <w:r>
              <w:rPr>
                <w:rFonts w:ascii="Arial" w:cs="Arial" w:eastAsia="Arial" w:hAnsi="Arial"/>
                <w:sz w:val="16"/>
                <w:szCs w:val="16"/>
                <w:color w:val="auto"/>
              </w:rPr>
              <w:t>Proceeds from exercise of employee stock options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6"/>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Net Cash –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9"/>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Effect of exchange rate changes on cash</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6"/>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1,349</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3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1,113</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during the period for:</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560"/>
              <w:spacing w:after="0"/>
              <w:rPr>
                <w:sz w:val="20"/>
                <w:szCs w:val="20"/>
                <w:color w:val="auto"/>
              </w:rPr>
            </w:pPr>
            <w:r>
              <w:rPr>
                <w:rFonts w:ascii="Arial" w:cs="Arial" w:eastAsia="Arial" w:hAnsi="Arial"/>
                <w:sz w:val="16"/>
                <w:szCs w:val="16"/>
                <w:color w:val="auto"/>
              </w:rPr>
              <w:t>Interest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Income taxes (net of refunds received)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 and Basis of Presentation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spacing w:after="0" w:line="6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Xylem operates in three segments, Water Infrastructure, Applied Water and Measurement &amp; Control Solutions. See Note 17, "Segment Information", to the condensed consolidated financial statements for further segment background information.</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Except as otherwise indicated or unless the context otherwise requires, "Xylem," "we," "us," "our" and the "Company" refer to Xylem Inc. and its subsidiaries.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interim condensed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spacing w:after="0" w:line="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Securities and Exchange Commission ("SEC") and, in the opinion of management, reflect all adjustments (which include normal recurring adjustments) considered necessary for a fair statement of the financial position and results of operations for the periods presented. Certain information and note disclosures normally included in financial statements prepared in accordance with GAAP have been condensed or omitted pursuant to such SEC rules. We believe that the disclosures made are adequate to make the information presented not misleading. We consistently applied the accounting policies described in our Annual Report on Form 10-K for the year ended December 31, 2021 ("2021 Annual Report") in preparing these unaudited condensed consolidated financial statements. These condensed consolidated financial statements should be read in conjunction with the audited consolidated financial statements and the notes included in our 2021 Annual Report.</w:t>
      </w:r>
    </w:p>
    <w:p>
      <w:pPr>
        <w:spacing w:after="0" w:line="5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 xml:space="preserve">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 Estimates are revised as additional information becomes available. Estimates and assumptions are used for, but not limited to, post-retirement obligations and assets, revenue recognition, income taxes, valuation of intangible assets, goodwill and indefinite-lived intangible impairment testing and contingent liabilities. Actual results could differ from these estimates. </w:t>
      </w:r>
      <w:r>
        <w:rPr>
          <w:rFonts w:ascii="Calibri" w:cs="Calibri" w:eastAsia="Calibri" w:hAnsi="Calibri"/>
          <w:sz w:val="19"/>
          <w:szCs w:val="19"/>
          <w:color w:val="auto"/>
        </w:rPr>
        <w:t>The global outbreak of the novel coronavirus ("COVID-19") disease in March 2020,</w:t>
      </w:r>
    </w:p>
    <w:p>
      <w:pPr>
        <w:ind w:right="140"/>
        <w:spacing w:after="0" w:line="216" w:lineRule="auto"/>
        <w:rPr>
          <w:sz w:val="20"/>
          <w:szCs w:val="20"/>
          <w:color w:val="auto"/>
        </w:rPr>
      </w:pPr>
      <w:r>
        <w:rPr>
          <w:rFonts w:ascii="Calibri" w:cs="Calibri" w:eastAsia="Calibri" w:hAnsi="Calibri"/>
          <w:sz w:val="20"/>
          <w:szCs w:val="20"/>
          <w:color w:val="auto"/>
        </w:rPr>
        <w:t>declared a pandemic by the World Health Organizaton, has created signifcant global volatlity, uncertainty and related macroeconomic disrupton. The COVID-19 pandemic and related macroeconomic impacts have also caused increased uncertainty in estmates and assumptons afectng the condensed consolidated fnancial statements. Actual results could difer from these estmates</w:t>
      </w:r>
      <w:r>
        <w:rPr>
          <w:rFonts w:ascii="Arial" w:cs="Arial" w:eastAsia="Arial" w:hAnsi="Arial"/>
          <w:sz w:val="17"/>
          <w:szCs w:val="17"/>
          <w:color w:val="auto"/>
        </w:rPr>
        <w:t>.</w:t>
      </w:r>
    </w:p>
    <w:p>
      <w:pPr>
        <w:spacing w:after="0" w:line="10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quarterly financial periods end on the Saturday closest to the last day of the calendar quarter, except for the fourth quarter which ends on December 31. For ease of presentation, the condensed consolidated financial statements included herein are described as ending on the last day of the calendar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Revenue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80" w:type="dxa"/>
            <w:vAlign w:val="bottom"/>
          </w:tcPr>
          <w:p>
            <w:pPr>
              <w:spacing w:after="0"/>
              <w:rPr>
                <w:sz w:val="17"/>
                <w:szCs w:val="17"/>
                <w:color w:val="auto"/>
              </w:rPr>
            </w:pPr>
          </w:p>
        </w:tc>
        <w:tc>
          <w:tcPr>
            <w:tcW w:w="246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1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r>
      <w:tr>
        <w:trPr>
          <w:trHeight w:val="197"/>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224"/>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1,312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Revenue</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revenue from contracts with customers by application.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50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r>
      <w:tr>
        <w:trPr>
          <w:trHeight w:val="197"/>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21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5260" w:type="dxa"/>
            <w:vAlign w:val="bottom"/>
          </w:tcPr>
          <w:p>
            <w:pPr>
              <w:ind w:left="280"/>
              <w:spacing w:after="0"/>
              <w:rPr>
                <w:sz w:val="20"/>
                <w:szCs w:val="20"/>
                <w:color w:val="auto"/>
              </w:rPr>
            </w:pPr>
            <w:r>
              <w:rPr>
                <w:rFonts w:ascii="Arial" w:cs="Arial" w:eastAsia="Arial" w:hAnsi="Arial"/>
                <w:sz w:val="18"/>
                <w:szCs w:val="18"/>
                <w:color w:val="auto"/>
              </w:rPr>
              <w:t>Transport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432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414</w:t>
            </w:r>
          </w:p>
        </w:tc>
        <w:tc>
          <w:tcPr>
            <w:tcW w:w="4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825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230"/>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Treatment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5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260" w:type="dxa"/>
            <w:vAlign w:val="bottom"/>
          </w:tcPr>
          <w:p>
            <w:pPr>
              <w:ind w:left="280"/>
              <w:spacing w:after="0"/>
              <w:rPr>
                <w:sz w:val="20"/>
                <w:szCs w:val="20"/>
                <w:color w:val="auto"/>
              </w:rPr>
            </w:pPr>
            <w:r>
              <w:rPr>
                <w:rFonts w:ascii="Arial" w:cs="Arial" w:eastAsia="Arial" w:hAnsi="Arial"/>
                <w:sz w:val="18"/>
                <w:szCs w:val="18"/>
                <w:color w:val="auto"/>
              </w:rPr>
              <w:t>Commercial Building Services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29"/>
        </w:trPr>
        <w:tc>
          <w:tcPr>
            <w:tcW w:w="5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Residential Building Services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5260" w:type="dxa"/>
            <w:vAlign w:val="bottom"/>
          </w:tcPr>
          <w:p>
            <w:pPr>
              <w:ind w:left="280"/>
              <w:spacing w:after="0"/>
              <w:rPr>
                <w:sz w:val="20"/>
                <w:szCs w:val="20"/>
                <w:color w:val="auto"/>
              </w:rPr>
            </w:pPr>
            <w:r>
              <w:rPr>
                <w:rFonts w:ascii="Arial" w:cs="Arial" w:eastAsia="Arial" w:hAnsi="Arial"/>
                <w:sz w:val="18"/>
                <w:szCs w:val="18"/>
                <w:color w:val="auto"/>
              </w:rPr>
              <w:t>Industrial Water</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70"/>
        </w:trPr>
        <w:tc>
          <w:tcPr>
            <w:tcW w:w="5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i w:val="1"/>
                <w:iCs w:val="1"/>
                <w:color w:val="auto"/>
              </w:rPr>
              <w:t>Measurement &amp; Control Solutions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Water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29"/>
        </w:trPr>
        <w:tc>
          <w:tcPr>
            <w:tcW w:w="5260" w:type="dxa"/>
            <w:vAlign w:val="bottom"/>
          </w:tcPr>
          <w:p>
            <w:pPr>
              <w:ind w:left="280"/>
              <w:spacing w:after="0"/>
              <w:rPr>
                <w:sz w:val="20"/>
                <w:szCs w:val="20"/>
                <w:color w:val="auto"/>
              </w:rPr>
            </w:pPr>
            <w:r>
              <w:rPr>
                <w:rFonts w:ascii="Arial" w:cs="Arial" w:eastAsia="Arial" w:hAnsi="Arial"/>
                <w:sz w:val="18"/>
                <w:szCs w:val="18"/>
                <w:color w:val="auto"/>
              </w:rPr>
              <w:t>Energy</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0"/>
        </w:trPr>
        <w:tc>
          <w:tcPr>
            <w:tcW w:w="52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4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w:t>
            </w: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*Items in the prior year footnote disclosures for Applied Water were reclassified to conform to the current classification.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reflects revenue from contracts with customers by geographical region.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5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r>
      <w:tr>
        <w:trPr>
          <w:trHeight w:val="197"/>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53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312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29"/>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5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3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29"/>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5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&amp; Control Solutions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3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29"/>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5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53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right="740" w:hanging="328"/>
        <w:spacing w:after="0" w:line="286"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Emerging Markets includes results from the following regions: Eastern Europe, the Middle East and Africa, Latin America and Asia Pacific (excluding Japan, Australia and New Zealand, which are presented 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Contract Balances</w:t>
      </w:r>
    </w:p>
    <w:p>
      <w:pPr>
        <w:spacing w:after="0" w:line="16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 The table below provides contract assets, contract liabilities, and significant changes in contract assets and liabilities: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Contract Assets (a)</w:t>
            </w:r>
          </w:p>
        </w:tc>
        <w:tc>
          <w:tcPr>
            <w:tcW w:w="4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Contract Liabilities</w:t>
            </w:r>
          </w:p>
        </w:tc>
      </w:tr>
      <w:tr>
        <w:trPr>
          <w:trHeight w:val="224"/>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5600" w:type="dxa"/>
            <w:vAlign w:val="bottom"/>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78</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237"/>
        </w:trPr>
        <w:tc>
          <w:tcPr>
            <w:tcW w:w="5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Balance at January 1, 2022</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164</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5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Excludes receivable balances, which are disclosed on the Condensed Consolidated Balance Sheets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Delivery schedules vary from customer to customer based upon their requirements. Typically, large projects require longer lead production cycles and delays can occur from time to time. As of June 30, 2022, the aggregate amount of the transaction price allocated to performance obligations that are unsatisfied or partially unsatisfied for contracts with performance obligations, amount to $498 million. We expect to recognize the majority of revenue upon the completion of satisfying these performance obligations in the following three years. The Company elects to apply the practical expedient to exclude from this disclosure revenue related to performance obligations that are part of a contract whose original expected duration is less than one year.</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Restructuring and Asset Impairment Charges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02" w:lineRule="exact"/>
        <w:rPr>
          <w:sz w:val="20"/>
          <w:szCs w:val="20"/>
          <w:color w:val="auto"/>
        </w:rPr>
      </w:pPr>
    </w:p>
    <w:p>
      <w:pPr>
        <w:ind w:right="460"/>
        <w:spacing w:after="0" w:line="245" w:lineRule="auto"/>
        <w:rPr>
          <w:sz w:val="20"/>
          <w:szCs w:val="20"/>
          <w:color w:val="auto"/>
        </w:rPr>
      </w:pPr>
      <w:r>
        <w:rPr>
          <w:rFonts w:ascii="Arial" w:cs="Arial" w:eastAsia="Arial" w:hAnsi="Arial"/>
          <w:sz w:val="18"/>
          <w:szCs w:val="18"/>
          <w:color w:val="auto"/>
        </w:rPr>
        <w:t>From time to time, the Company will incur costs related to restructuring actions in order to optimize our cost base and more strategically position itself. During the three and six months ended June 30, 2022, we incurred restructuring charges of $6 million. We incurred these</w:t>
      </w:r>
    </w:p>
    <w:p>
      <w:pPr>
        <w:ind w:right="260"/>
        <w:spacing w:after="0" w:line="237" w:lineRule="auto"/>
        <w:rPr>
          <w:sz w:val="20"/>
          <w:szCs w:val="20"/>
          <w:color w:val="auto"/>
        </w:rPr>
      </w:pPr>
      <w:r>
        <w:rPr>
          <w:rFonts w:ascii="Arial" w:cs="Arial" w:eastAsia="Arial" w:hAnsi="Arial"/>
          <w:sz w:val="18"/>
          <w:szCs w:val="18"/>
          <w:color w:val="auto"/>
        </w:rPr>
        <w:t>charges primarily as a continuation of our efforts to reposition our European and North American businesses to optimize our cost structure and improve our operational efficiency and effectiveness.The charges included the reduction of headcount across all segments.</w:t>
      </w:r>
    </w:p>
    <w:p>
      <w:pPr>
        <w:spacing w:after="0" w:line="8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During the three and six months ended June 30, 2021, we recognized restructuring charges of $3 million and $8 million, respectively, of which $2 million and $6 million relate to actions previously announced in 2020. These charges included reduction of headcount across all segments and asset impairments within our Measurement &amp; Control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presents the components of restructuring expense and asset impairment charges: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4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97"/>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2021</w:t>
            </w:r>
          </w:p>
        </w:tc>
        <w:tc>
          <w:tcPr>
            <w:tcW w:w="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2021</w:t>
            </w:r>
          </w:p>
        </w:tc>
      </w:tr>
      <w:tr>
        <w:trPr>
          <w:trHeight w:val="211"/>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component: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Severance and other charges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ind w:left="592"/>
              <w:spacing w:after="0"/>
              <w:rPr>
                <w:sz w:val="20"/>
                <w:szCs w:val="20"/>
                <w:color w:val="auto"/>
              </w:rPr>
            </w:pPr>
            <w:r>
              <w:rPr>
                <w:rFonts w:ascii="Arial" w:cs="Arial" w:eastAsia="Arial" w:hAnsi="Arial"/>
                <w:sz w:val="18"/>
                <w:szCs w:val="18"/>
                <w:color w:val="auto"/>
                <w:w w:val="99"/>
              </w:rPr>
              <w:t>8</w:t>
            </w:r>
          </w:p>
        </w:tc>
      </w:tr>
      <w:tr>
        <w:trPr>
          <w:trHeight w:val="229"/>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592"/>
              <w:spacing w:after="0"/>
              <w:rPr>
                <w:sz w:val="20"/>
                <w:szCs w:val="20"/>
                <w:color w:val="auto"/>
              </w:rPr>
            </w:pPr>
            <w:r>
              <w:rPr>
                <w:rFonts w:ascii="Arial" w:cs="Arial" w:eastAsia="Arial" w:hAnsi="Arial"/>
                <w:sz w:val="18"/>
                <w:szCs w:val="18"/>
                <w:color w:val="auto"/>
                <w:w w:val="99"/>
              </w:rPr>
              <w:t>1</w:t>
            </w: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Reversal of restructuring accruals</w:t>
            </w:r>
          </w:p>
        </w:tc>
        <w:tc>
          <w:tcPr>
            <w:tcW w:w="3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940" w:type="dxa"/>
            <w:vAlign w:val="bottom"/>
          </w:tcPr>
          <w:p>
            <w:pPr>
              <w:jc w:val="center"/>
              <w:ind w:left="592"/>
              <w:spacing w:after="0"/>
              <w:rPr>
                <w:sz w:val="20"/>
                <w:szCs w:val="20"/>
                <w:color w:val="auto"/>
              </w:rPr>
            </w:pPr>
            <w:r>
              <w:rPr>
                <w:rFonts w:ascii="Arial" w:cs="Arial" w:eastAsia="Arial" w:hAnsi="Arial"/>
                <w:sz w:val="18"/>
                <w:szCs w:val="18"/>
                <w:color w:val="auto"/>
                <w:w w:val="99"/>
              </w:rPr>
              <w:t>(1)</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charges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center"/>
              <w:ind w:left="592"/>
              <w:spacing w:after="0"/>
              <w:rPr>
                <w:sz w:val="20"/>
                <w:szCs w:val="20"/>
                <w:color w:val="auto"/>
              </w:rPr>
            </w:pPr>
            <w:r>
              <w:rPr>
                <w:rFonts w:ascii="Arial" w:cs="Arial" w:eastAsia="Arial" w:hAnsi="Arial"/>
                <w:sz w:val="18"/>
                <w:szCs w:val="18"/>
                <w:color w:val="auto"/>
                <w:w w:val="99"/>
              </w:rPr>
              <w:t>8</w:t>
            </w: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 charges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592"/>
              <w:spacing w:after="0"/>
              <w:rPr>
                <w:sz w:val="20"/>
                <w:szCs w:val="20"/>
                <w:color w:val="auto"/>
              </w:rPr>
            </w:pPr>
            <w:r>
              <w:rPr>
                <w:rFonts w:ascii="Arial" w:cs="Arial" w:eastAsia="Arial" w:hAnsi="Arial"/>
                <w:sz w:val="18"/>
                <w:szCs w:val="18"/>
                <w:color w:val="auto"/>
                <w:w w:val="99"/>
              </w:rPr>
              <w:t>1</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center"/>
              <w:ind w:left="592"/>
              <w:spacing w:after="0"/>
              <w:rPr>
                <w:sz w:val="20"/>
                <w:szCs w:val="20"/>
                <w:color w:val="auto"/>
              </w:rPr>
            </w:pPr>
            <w:r>
              <w:rPr>
                <w:rFonts w:ascii="Arial" w:cs="Arial" w:eastAsia="Arial" w:hAnsi="Arial"/>
                <w:sz w:val="18"/>
                <w:szCs w:val="18"/>
                <w:color w:val="auto"/>
                <w:w w:val="99"/>
              </w:rPr>
              <w:t>9</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By segment: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520" w:type="dxa"/>
            <w:vAlign w:val="bottom"/>
          </w:tcPr>
          <w:p>
            <w:pPr>
              <w:ind w:left="480"/>
              <w:spacing w:after="0"/>
              <w:rPr>
                <w:sz w:val="20"/>
                <w:szCs w:val="20"/>
                <w:color w:val="auto"/>
              </w:rPr>
            </w:pPr>
            <w:r>
              <w:rPr>
                <w:rFonts w:ascii="Arial" w:cs="Arial" w:eastAsia="Arial" w:hAnsi="Arial"/>
                <w:sz w:val="18"/>
                <w:szCs w:val="18"/>
                <w:color w:val="auto"/>
              </w:rPr>
              <w:t>Water Infrastructure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ind w:left="592"/>
              <w:spacing w:after="0"/>
              <w:rPr>
                <w:sz w:val="20"/>
                <w:szCs w:val="20"/>
                <w:color w:val="auto"/>
              </w:rPr>
            </w:pPr>
            <w:r>
              <w:rPr>
                <w:rFonts w:ascii="Arial" w:cs="Arial" w:eastAsia="Arial" w:hAnsi="Arial"/>
                <w:sz w:val="18"/>
                <w:szCs w:val="18"/>
                <w:color w:val="auto"/>
                <w:w w:val="99"/>
              </w:rPr>
              <w:t>7</w:t>
            </w:r>
          </w:p>
        </w:tc>
      </w:tr>
      <w:tr>
        <w:trPr>
          <w:trHeight w:val="230"/>
        </w:trPr>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Applied Water</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592"/>
              <w:spacing w:after="0"/>
              <w:rPr>
                <w:sz w:val="20"/>
                <w:szCs w:val="20"/>
                <w:color w:val="auto"/>
              </w:rPr>
            </w:pPr>
            <w:r>
              <w:rPr>
                <w:rFonts w:ascii="Arial" w:cs="Arial" w:eastAsia="Arial" w:hAnsi="Arial"/>
                <w:sz w:val="18"/>
                <w:szCs w:val="18"/>
                <w:color w:val="auto"/>
                <w:w w:val="99"/>
              </w:rPr>
              <w:t>1</w:t>
            </w:r>
          </w:p>
        </w:tc>
      </w:tr>
      <w:tr>
        <w:trPr>
          <w:trHeight w:val="247"/>
        </w:trPr>
        <w:tc>
          <w:tcPr>
            <w:tcW w:w="5520" w:type="dxa"/>
            <w:vAlign w:val="bottom"/>
          </w:tcPr>
          <w:p>
            <w:pPr>
              <w:ind w:left="480"/>
              <w:spacing w:after="0"/>
              <w:rPr>
                <w:sz w:val="20"/>
                <w:szCs w:val="20"/>
                <w:color w:val="auto"/>
              </w:rPr>
            </w:pPr>
            <w:r>
              <w:rPr>
                <w:rFonts w:ascii="Arial" w:cs="Arial" w:eastAsia="Arial" w:hAnsi="Arial"/>
                <w:sz w:val="18"/>
                <w:szCs w:val="18"/>
                <w:color w:val="auto"/>
              </w:rPr>
              <w:t>Measurement &amp; Control Solutions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center"/>
              <w:ind w:left="592"/>
              <w:spacing w:after="0"/>
              <w:rPr>
                <w:sz w:val="20"/>
                <w:szCs w:val="20"/>
                <w:color w:val="auto"/>
              </w:rPr>
            </w:pPr>
            <w:r>
              <w:rPr>
                <w:rFonts w:ascii="Arial" w:cs="Arial" w:eastAsia="Arial" w:hAnsi="Arial"/>
                <w:sz w:val="18"/>
                <w:szCs w:val="18"/>
                <w:color w:val="auto"/>
                <w:w w:val="99"/>
              </w:rPr>
              <w:t>1</w:t>
            </w:r>
          </w:p>
        </w:tc>
      </w:tr>
    </w:tbl>
    <w:p>
      <w:pPr>
        <w:spacing w:after="0" w:line="220" w:lineRule="exact"/>
        <w:rPr>
          <w:sz w:val="20"/>
          <w:szCs w:val="20"/>
          <w:color w:val="auto"/>
        </w:rPr>
      </w:pPr>
    </w:p>
    <w:p>
      <w:pPr>
        <w:ind w:right="320"/>
        <w:spacing w:after="0" w:line="295" w:lineRule="auto"/>
        <w:rPr>
          <w:sz w:val="20"/>
          <w:szCs w:val="20"/>
          <w:color w:val="auto"/>
        </w:rPr>
      </w:pPr>
      <w:r>
        <w:rPr>
          <w:rFonts w:ascii="Arial" w:cs="Arial" w:eastAsia="Arial" w:hAnsi="Arial"/>
          <w:sz w:val="17"/>
          <w:szCs w:val="17"/>
          <w:color w:val="auto"/>
        </w:rPr>
        <w:t>The following table displays a roll-forward of the restructuring accruals, presented on our Condensed Consolidated Balance Sheets within "Accrued and other current liabilities" and "Other non-current accrued liabilities", for the six months ended June 30, 2022 and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2021</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Restructuring charges,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Asset impairment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accruals - June 30</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8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By segment: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Water Infrastructure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Applied Water</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440" w:type="dxa"/>
            <w:vAlign w:val="bottom"/>
          </w:tcPr>
          <w:p>
            <w:pPr>
              <w:ind w:left="480"/>
              <w:spacing w:after="0"/>
              <w:rPr>
                <w:sz w:val="20"/>
                <w:szCs w:val="20"/>
                <w:color w:val="auto"/>
              </w:rPr>
            </w:pPr>
            <w:r>
              <w:rPr>
                <w:rFonts w:ascii="Arial" w:cs="Arial" w:eastAsia="Arial" w:hAnsi="Arial"/>
                <w:sz w:val="18"/>
                <w:szCs w:val="18"/>
                <w:color w:val="auto"/>
              </w:rPr>
              <w:t>Measurement &amp; Control Solutions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Regional selling locations (a)</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7"/>
        </w:trPr>
        <w:tc>
          <w:tcPr>
            <w:tcW w:w="8440" w:type="dxa"/>
            <w:vAlign w:val="bottom"/>
          </w:tcPr>
          <w:p>
            <w:pPr>
              <w:ind w:left="480"/>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2" w:lineRule="exact"/>
        <w:rPr>
          <w:sz w:val="20"/>
          <w:szCs w:val="20"/>
          <w:color w:val="auto"/>
        </w:rPr>
      </w:pPr>
    </w:p>
    <w:p>
      <w:pPr>
        <w:ind w:left="340" w:right="180" w:hanging="332"/>
        <w:spacing w:after="0" w:line="304" w:lineRule="auto"/>
        <w:tabs>
          <w:tab w:leader="none" w:pos="335" w:val="left"/>
        </w:tabs>
        <w:numPr>
          <w:ilvl w:val="0"/>
          <w:numId w:val="4"/>
        </w:numPr>
        <w:rPr>
          <w:rFonts w:ascii="Arial" w:cs="Arial" w:eastAsia="Arial" w:hAnsi="Arial"/>
          <w:sz w:val="16"/>
          <w:szCs w:val="16"/>
          <w:color w:val="auto"/>
        </w:rPr>
      </w:pPr>
      <w:r>
        <w:rPr>
          <w:rFonts w:ascii="Arial" w:cs="Arial" w:eastAsia="Arial" w:hAnsi="Arial"/>
          <w:sz w:val="16"/>
          <w:szCs w:val="16"/>
          <w:color w:val="auto"/>
        </w:rPr>
        <w:t>Regional selling locations consist primarily of selling and marketing organizations and related support services that incurred restructuring expense that was allocated to the segments. The liabilities associated with restructuring expense were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presents expected restructuring spend in 2022 and thereafter: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Applied Water</w:t>
            </w: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Measurement &amp;</w:t>
            </w:r>
          </w:p>
        </w:tc>
        <w:tc>
          <w:tcPr>
            <w:tcW w:w="2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Corporate</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48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Control Solutions</w:t>
            </w:r>
          </w:p>
        </w:tc>
        <w:tc>
          <w:tcPr>
            <w:tcW w:w="2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2022:</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Q1 2022</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Q2 2022</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Costs incurred during Q1 2022</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Q2 2022</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Water Infrastructure, Applied Water and Measurement &amp; Control Solutions actions commenced in 2022 consist primarily of severance charges. The Water Infrastructure and Applied Water actions are complete and the Measurement &amp; Control Solutions actions are expected to continue through the end of 2022.</w:t>
      </w:r>
    </w:p>
    <w:p>
      <w:pPr>
        <w:spacing w:after="0" w:line="171"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The Water Infrastructure and Measurement &amp; Control Solutions actions commenced in 2021 consist primarily of severance charges. The Water Infrastructure actions are complete and the Measurement &amp; Control Solutions actions are expected to continue through the end of 2022.</w:t>
      </w:r>
    </w:p>
    <w:p>
      <w:pPr>
        <w:spacing w:after="0" w:line="17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During the second quarter of 2022, we also incurred charges of $1 million within the Measurement &amp; Control Solutions segment, related to actions commenced prior to 2021.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11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Our quarterly provision for income taxes is measured using an estimated annual effective tax rate, adjusted for discrete items within periods presented. The comparison of our effective tax rate between periods is significantly impacted by the level and mix of earnings and losses by tax jurisdiction and discrete items.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income tax provision for the three months ended June 30, 2022 was $24 million resulting in an effective tax rate of 17.5%, compared to a $25 million expense resulting in an effective tax rate of 18.5% for the same period in 2021. The income tax provision for the six months ended June 30, 2022 was $40 million resulting in an effective tax rate of 17.0%, compared to a $52 million expense resulting in an effective tax rate of 20.7% for the same period in 2021. The effective tax rate for the three and six month periods ended June 30, 2022 was lower than the U.S. federal statutory rate primarily due to favorable earnings mix and tax settlement benefits, partially offset by the Global Intangible Low Taxed Income ("GILTI") inclusion.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2019, Xylem’s Swedish subsidiary received a tax assessment for the 2013 tax year related to the tax treatment of an intercompany transfer of certain intellectual property that was made in connection with a reorganization of our European businesses. Xylem filed an appeal with the Administrative Court of Vaxjo, which rendered a decision adverse to Xylem in June 2022 for $80 million, consisting of the full tax assessment amount plus penalties and interest. Xylem intends to appeal this decision with the intermediate appellate court, the Administrative Court of Appeal (the “Court”). At this time, management, in consultation with external legal advisors, continues to believe it is more likely than not that Xylem will prevail on the proposed assessment and will continue to vigorously defend our position through the appellate process. The appeal to the Court is expected to take approximately one year; however, there can be no assurance as to the timing of the Court’s decision. Both parties will have the ability to seek appeal of the Court’s decision to the Supreme Administrative Court of Sweden. There can be no assurance that the final determination by the authorities will not be materially different than our position. As of June 30, 2022, we have not recorded any unrecognized tax benefits related to this uncertain tax position.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net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26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w:t>
            </w:r>
          </w:p>
        </w:tc>
      </w:tr>
      <w:tr>
        <w:trPr>
          <w:trHeight w:val="204"/>
        </w:trPr>
        <w:tc>
          <w:tcPr>
            <w:tcW w:w="5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6"/>
        </w:trPr>
        <w:tc>
          <w:tcPr>
            <w:tcW w:w="5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2021</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2021</w:t>
            </w:r>
          </w:p>
        </w:tc>
      </w:tr>
      <w:tr>
        <w:trPr>
          <w:trHeight w:val="224"/>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(in millions)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0"/>
        </w:trPr>
        <w:tc>
          <w:tcPr>
            <w:tcW w:w="5880" w:type="dxa"/>
            <w:vAlign w:val="bottom"/>
          </w:tcPr>
          <w:p>
            <w:pPr>
              <w:ind w:left="140"/>
              <w:spacing w:after="0"/>
              <w:rPr>
                <w:sz w:val="20"/>
                <w:szCs w:val="20"/>
                <w:color w:val="auto"/>
              </w:rPr>
            </w:pPr>
            <w:r>
              <w:rPr>
                <w:rFonts w:ascii="Arial" w:cs="Arial" w:eastAsia="Arial" w:hAnsi="Arial"/>
                <w:sz w:val="18"/>
                <w:szCs w:val="18"/>
                <w:color w:val="auto"/>
              </w:rPr>
              <w:t>Shares (in thousands):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180,072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180,164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180,162</w:t>
            </w:r>
          </w:p>
        </w:tc>
      </w:tr>
      <w:tr>
        <w:trPr>
          <w:trHeight w:val="229"/>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Add: Participating securities (a)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180,156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180,106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180,193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180,186</w:t>
            </w:r>
          </w:p>
        </w:tc>
      </w:tr>
      <w:tr>
        <w:trPr>
          <w:trHeight w:val="230"/>
        </w:trPr>
        <w:tc>
          <w:tcPr>
            <w:tcW w:w="5880" w:type="dxa"/>
            <w:vAlign w:val="bottom"/>
          </w:tcPr>
          <w:p>
            <w:pPr>
              <w:ind w:left="140"/>
              <w:spacing w:after="0"/>
              <w:rPr>
                <w:sz w:val="20"/>
                <w:szCs w:val="20"/>
                <w:color w:val="auto"/>
              </w:rPr>
            </w:pPr>
            <w:r>
              <w:rPr>
                <w:rFonts w:ascii="Arial" w:cs="Arial" w:eastAsia="Arial" w:hAnsi="Arial"/>
                <w:sz w:val="18"/>
                <w:szCs w:val="18"/>
                <w:color w:val="auto"/>
              </w:rPr>
              <w:t>Plus incremental shares from assumed conversions: (b)</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stock options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229"/>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r>
      <w:tr>
        <w:trPr>
          <w:trHeight w:val="223"/>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180,650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181,349</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180,835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181,411</w:t>
            </w:r>
          </w:p>
        </w:tc>
      </w:tr>
      <w:tr>
        <w:trPr>
          <w:trHeight w:val="223"/>
        </w:trPr>
        <w:tc>
          <w:tcPr>
            <w:tcW w:w="5880" w:type="dxa"/>
            <w:vAlign w:val="bottom"/>
          </w:tcPr>
          <w:p>
            <w:pPr>
              <w:ind w:left="14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0.63</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bl>
    <w:p>
      <w:pPr>
        <w:spacing w:after="0" w:line="242" w:lineRule="exact"/>
        <w:rPr>
          <w:sz w:val="20"/>
          <w:szCs w:val="20"/>
          <w:color w:val="auto"/>
        </w:rPr>
      </w:pPr>
    </w:p>
    <w:p>
      <w:pPr>
        <w:ind w:left="340" w:right="520" w:hanging="332"/>
        <w:spacing w:after="0" w:line="286"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Restricted stock unit awards containing rights to non-forfeitable dividends that participate in undistributed earnings with common stockholders are considered participating securities for purposes of computing earnings per share.</w:t>
      </w:r>
    </w:p>
    <w:p>
      <w:pPr>
        <w:spacing w:after="0" w:line="47" w:lineRule="exact"/>
        <w:rPr>
          <w:rFonts w:ascii="Arial" w:cs="Arial" w:eastAsia="Arial" w:hAnsi="Arial"/>
          <w:sz w:val="16"/>
          <w:szCs w:val="16"/>
          <w:color w:val="auto"/>
        </w:rPr>
      </w:pPr>
    </w:p>
    <w:p>
      <w:pPr>
        <w:ind w:left="340" w:right="40" w:hanging="332"/>
        <w:spacing w:after="0" w:line="262"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will be included in the treasury stock calculation of diluted earnings per share upon achievement of underlying performance or market conditions at the end of the reporting period. See Note 13, "Share-Based Compensation Plans", to the condensed consolidated financial statements for further detail on the performance share units.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29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272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240" w:type="dxa"/>
            <w:vAlign w:val="bottom"/>
          </w:tcPr>
          <w:p>
            <w:pPr>
              <w:spacing w:after="0"/>
              <w:rPr>
                <w:sz w:val="17"/>
                <w:szCs w:val="17"/>
                <w:color w:val="auto"/>
              </w:rPr>
            </w:pPr>
          </w:p>
        </w:tc>
        <w:tc>
          <w:tcPr>
            <w:tcW w:w="176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tcBorders>
              <w:bottom w:val="single" w:sz="8" w:color="auto"/>
            </w:tcBorders>
          </w:tcPr>
          <w:p>
            <w:pPr>
              <w:spacing w:after="0"/>
              <w:rPr>
                <w:sz w:val="17"/>
                <w:szCs w:val="17"/>
                <w:color w:val="auto"/>
              </w:rPr>
            </w:pPr>
          </w:p>
        </w:tc>
      </w:tr>
      <w:tr>
        <w:trPr>
          <w:trHeight w:val="197"/>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2021</w:t>
            </w:r>
          </w:p>
        </w:tc>
        <w:tc>
          <w:tcPr>
            <w:tcW w:w="2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2021</w:t>
            </w:r>
          </w:p>
        </w:tc>
      </w:tr>
      <w:tr>
        <w:trPr>
          <w:trHeight w:val="224"/>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r>
      <w:tr>
        <w:trPr>
          <w:trHeight w:val="230"/>
        </w:trPr>
        <w:tc>
          <w:tcPr>
            <w:tcW w:w="5240" w:type="dxa"/>
            <w:vAlign w:val="bottom"/>
          </w:tcPr>
          <w:p>
            <w:pPr>
              <w:ind w:left="140"/>
              <w:spacing w:after="0"/>
              <w:rPr>
                <w:sz w:val="20"/>
                <w:szCs w:val="20"/>
                <w:color w:val="auto"/>
              </w:rPr>
            </w:pPr>
            <w:r>
              <w:rPr>
                <w:rFonts w:ascii="Arial" w:cs="Arial" w:eastAsia="Arial" w:hAnsi="Arial"/>
                <w:sz w:val="16"/>
                <w:szCs w:val="16"/>
                <w:color w:val="auto"/>
              </w:rPr>
              <w:t>Restricted stock units</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Performance share units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4" w:name="page15"/>
    <w:bookmarkEnd w:id="14"/>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inventories are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196"/>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818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Work in process</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Raw materials</w:t>
            </w:r>
          </w:p>
        </w:tc>
        <w:tc>
          <w:tcPr>
            <w:tcW w:w="10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3"/>
        </w:trPr>
        <w:tc>
          <w:tcPr>
            <w:tcW w:w="8180" w:type="dxa"/>
            <w:vAlign w:val="bottom"/>
          </w:tcPr>
          <w:p>
            <w:pPr>
              <w:ind w:left="360"/>
              <w:spacing w:after="0"/>
              <w:rPr>
                <w:sz w:val="20"/>
                <w:szCs w:val="20"/>
                <w:color w:val="auto"/>
              </w:rPr>
            </w:pPr>
            <w:r>
              <w:rPr>
                <w:rFonts w:ascii="Arial" w:cs="Arial" w:eastAsia="Arial" w:hAnsi="Arial"/>
                <w:sz w:val="18"/>
                <w:szCs w:val="18"/>
                <w:color w:val="auto"/>
              </w:rPr>
              <w:t>Total inventories</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Other Intangible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for the six months ended June 30, 2022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Water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Applied Water</w:t>
            </w:r>
          </w:p>
        </w:tc>
        <w:tc>
          <w:tcPr>
            <w:tcW w:w="2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rPr>
              <w:t>Measurement &amp;</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Infrastructure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Control Solutions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as of January 1, 2022</w:t>
            </w:r>
          </w:p>
        </w:tc>
        <w:tc>
          <w:tcPr>
            <w:tcW w:w="2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40"/>
              <w:spacing w:after="0"/>
              <w:rPr>
                <w:sz w:val="20"/>
                <w:szCs w:val="20"/>
                <w:color w:val="auto"/>
              </w:rPr>
            </w:pPr>
            <w:r>
              <w:rPr>
                <w:rFonts w:ascii="Arial" w:cs="Arial" w:eastAsia="Arial" w:hAnsi="Arial"/>
                <w:sz w:val="18"/>
                <w:szCs w:val="18"/>
                <w:i w:val="1"/>
                <w:iCs w:val="1"/>
                <w:color w:val="auto"/>
              </w:rPr>
              <w:t>Activity in 2022</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and 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140"/>
              <w:spacing w:after="0"/>
              <w:rPr>
                <w:sz w:val="20"/>
                <w:szCs w:val="20"/>
                <w:color w:val="auto"/>
              </w:rPr>
            </w:pPr>
            <w:r>
              <w:rPr>
                <w:rFonts w:ascii="Arial" w:cs="Arial" w:eastAsia="Arial" w:hAnsi="Arial"/>
                <w:sz w:val="18"/>
                <w:szCs w:val="18"/>
                <w:b w:val="1"/>
                <w:bCs w:val="1"/>
                <w:color w:val="auto"/>
              </w:rPr>
              <w:t>Balance as of June 30, 2022</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w:t>
            </w:r>
          </w:p>
        </w:tc>
        <w:tc>
          <w:tcPr>
            <w:tcW w:w="12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Intangible Assets</w:t>
            </w: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2"/>
        </w:trPr>
        <w:tc>
          <w:tcPr>
            <w:tcW w:w="3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700" w:type="dxa"/>
            <w:vAlign w:val="bottom"/>
            <w:gridSpan w:val="7"/>
          </w:tcPr>
          <w:p>
            <w:pPr>
              <w:spacing w:after="0"/>
              <w:rPr>
                <w:sz w:val="20"/>
                <w:szCs w:val="20"/>
                <w:color w:val="auto"/>
              </w:rPr>
            </w:pPr>
            <w:r>
              <w:rPr>
                <w:rFonts w:ascii="Arial" w:cs="Arial" w:eastAsia="Arial" w:hAnsi="Arial"/>
                <w:sz w:val="18"/>
                <w:szCs w:val="18"/>
                <w:color w:val="auto"/>
              </w:rPr>
              <w:t>Information regarding our other intangible assets is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December 31, 2021</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1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14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460"/>
              <w:spacing w:after="0" w:line="147" w:lineRule="exact"/>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Carrying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7"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20"/>
              <w:spacing w:after="0" w:line="147"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85"/>
        </w:trPr>
        <w:tc>
          <w:tcPr>
            <w:tcW w:w="30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Intangibles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rPr>
              <w:t>Amortization</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color w:val="auto"/>
              </w:rPr>
              <w:t>Intangibles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06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Customer and distributor</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914</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441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4"/>
                <w:szCs w:val="14"/>
                <w:color w:val="auto"/>
              </w:rPr>
            </w:pPr>
          </w:p>
        </w:tc>
        <w:tc>
          <w:tcPr>
            <w:tcW w:w="18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 w:type="dxa"/>
            <w:vAlign w:val="bottom"/>
            <w:shd w:val="clear" w:color="auto" w:fill="CCEEFF"/>
          </w:tcPr>
          <w:p>
            <w:pPr>
              <w:spacing w:after="0"/>
              <w:rPr>
                <w:sz w:val="14"/>
                <w:szCs w:val="14"/>
                <w:color w:val="auto"/>
              </w:rPr>
            </w:pPr>
          </w:p>
        </w:tc>
        <w:tc>
          <w:tcPr>
            <w:tcW w:w="30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relationships</w:t>
            </w:r>
          </w:p>
        </w:tc>
        <w:tc>
          <w:tcPr>
            <w:tcW w:w="22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gridSpan w:val="3"/>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Indefinite-lived intangibles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left="65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975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Amortization expense related to finite-lived intangible assets was $32 million and $62 million for the three and six-month periods ended June 30, 2022, respectively, and $33 million and $65 million for the three and six month periods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Derivative Financial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also reduce the volatility in stockholders' equity.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business units with exposure to foreign currency exchange risks have designated certain currency forward agreements as cash flow hedges of forecasted intercompany inventory purchases and sales. Our principal currency exposures relate to the Euro, Swedish Krona, British Pound, Canadian Dollar, Polish Zloty and Australian Dollar. We had foreign exchange contracts with purchased notional amounts totaling $278 million and $301 million as of June 30, 2022 and December 31, 2021, respectively. As of June 30, 2022, our most significant foreign currency derivatives included contracts to sell U.S. Dollar and purchase Euro, purchase Swedish Krona and sell Euro, sell British Pound and purchase Euro, purchase U.S. Dollar and sell Canadian Dollar, sell Canadian Dollar and purchase Euro, sell Australian Dollar and purchase Euro, and to purchase Polish Zloty and sell Euro. The purchased notional amounts associated with these currency derivatives are $112 million, $83 million, $30 million, $15 million, $14 million, $13 million and $11 million, respectively. As of December 31, 2021 the purchased notional amounts associated with these currency derivatives are $130 million, $88 million, $31 million, $14 million, $14 million, $13 million and $11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Swaps</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Beginning in 2015, we entered into cross-currency swaps to manage our exposure to fluctuations in the Euro-U.S. Dollar exchange rate. During the second quarter of 2019, third quarter of 2020, and second quarter of 2022 we entered into additional cross-currency swaps. The total notional amount of derivative instruments designated as net investment hedges was $1,587 million and $1,151 million as of June 30, 2022 and December 31, 2021,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Denominated Debt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On March 11, 2016, we issued 2.250% Senior Notes of €500 million aggregate principal amount due March 2023.</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June 2, 2022, we de-designated the entirety of the outstanding balance of the €500 million 2.250% Senior Notes, or $533 million from the net investment hedge relationship. Previously, the entirety of the outstanding balance, or $563 million as of December 31, 2021, net of unamortized discount, was designated as a hedge of a net investment in certain foreign subsidiaries.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Hedges of Foreign Exchange Risk</w:t>
      </w:r>
    </w:p>
    <w:p>
      <w:pPr>
        <w:spacing w:after="0" w:line="11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de-designation of our 2.250% Senior Notes of €500 million resulted in exposure to fluctuations in the Euro-U.S. Dollar exchange rate. We use currency forward agreements to manage our exposure to fluctuations in the Euro-U.S. Dollar exchange rate. Currency forward agreements involve fixing the foreign currency exchange rate for delivery of a specified amount of foreign currency on a specified date.</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On June 2, 2022, we entered into a currency forward agreement with a total notional amount of €500 million, designating the agreement as a fair value hedge of our Euro denominated notes. As of June 30, 2022, the total notional amount of the fair value hedge was $522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420"/>
        <w:spacing w:after="0" w:line="257" w:lineRule="auto"/>
        <w:rPr>
          <w:sz w:val="20"/>
          <w:szCs w:val="20"/>
          <w:color w:val="auto"/>
        </w:rPr>
      </w:pPr>
      <w:r>
        <w:rPr>
          <w:rFonts w:ascii="Arial" w:cs="Arial" w:eastAsia="Arial" w:hAnsi="Arial"/>
          <w:sz w:val="18"/>
          <w:szCs w:val="18"/>
          <w:color w:val="auto"/>
        </w:rPr>
        <w:t>Effectiveness of derivatives designated as fair value hedges is assessed using the spot method. The changes in the fair value of these derivatives due to movements in spot exchange rates are recorded in Selling, general and administrative Expenses. Changes in the fair value of the 2.250% Senior Notes of €500 million related to spot exchange rates are also recorded in Selling, general and administrative expenses. Changes in the spot-forward differential and counterparty non-performance risk of the derivatives are excluded from the assessment of hedge effectiveness and will be recognized in Accumulated other comprehensive loss (AOCL). Amounts in AOCL are recognized in earnings, specifically Interest expense, using a systematic and rational method over the life of the hedging instrument.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effect of our derivative financial instruments on the Condensed Consolidated Income Statements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Statements of Comprehensive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32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5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2021</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(loss) recognized in OCI</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Amount of (gain) loss reclassified from OCI into Revenue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loss reclassified from OCI into Cost of revenue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b w:val="1"/>
                <w:bCs w:val="1"/>
                <w:color w:val="auto"/>
              </w:rPr>
              <w:t>Cross-Currency Swaps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recognized in OCI</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Amount of income recognized in 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Foreign Currency Denominated Debt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Amount of gain (loss) recognized in OCI</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5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Fair Value Hedges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20"/>
              <w:spacing w:after="0"/>
              <w:rPr>
                <w:sz w:val="20"/>
                <w:szCs w:val="20"/>
                <w:color w:val="auto"/>
              </w:rPr>
            </w:pPr>
            <w:r>
              <w:rPr>
                <w:rFonts w:ascii="Arial" w:cs="Arial" w:eastAsia="Arial" w:hAnsi="Arial"/>
                <w:sz w:val="18"/>
                <w:szCs w:val="18"/>
                <w:color w:val="auto"/>
              </w:rPr>
              <w:t>Amount of gain recognized in OCI</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7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Amount of (loss) recognized in Selling, general and administrative</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28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vMerge w:val="continue"/>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740" w:type="dxa"/>
            <w:vAlign w:val="bottom"/>
          </w:tcPr>
          <w:p>
            <w:pPr>
              <w:ind w:left="220"/>
              <w:spacing w:after="0"/>
              <w:rPr>
                <w:sz w:val="20"/>
                <w:szCs w:val="20"/>
                <w:color w:val="auto"/>
              </w:rPr>
            </w:pPr>
            <w:r>
              <w:rPr>
                <w:rFonts w:ascii="Arial" w:cs="Arial" w:eastAsia="Arial" w:hAnsi="Arial"/>
                <w:sz w:val="18"/>
                <w:szCs w:val="18"/>
                <w:color w:val="auto"/>
              </w:rPr>
              <w:t>Amount recognized in Interest expense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$17 million of net losses on cash flow hedges are expected to be reclassified into earnings in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no gains or losses on the net investment hedges are expected to be reclassified into earnings over their duration.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$4 million of net losses on the fair value hedges are expected to be reclassified into earnings in the next 12 months.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 are determined through the use of models that consider various assumptions including yield curves, time value and other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fair values of our derivative contracts currently included in our hedging program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480" w:type="dxa"/>
            <w:vAlign w:val="bottom"/>
          </w:tcPr>
          <w:p>
            <w:pPr>
              <w:jc w:val="right"/>
              <w:ind w:right="335"/>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77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Cash Flow Hedges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2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20"/>
              <w:spacing w:after="0"/>
              <w:rPr>
                <w:sz w:val="20"/>
                <w:szCs w:val="20"/>
                <w:color w:val="auto"/>
              </w:rPr>
            </w:pPr>
            <w:r>
              <w:rPr>
                <w:rFonts w:ascii="Arial" w:cs="Arial" w:eastAsia="Arial" w:hAnsi="Arial"/>
                <w:sz w:val="18"/>
                <w:szCs w:val="18"/>
                <w:i w:val="1"/>
                <w:iCs w:val="1"/>
                <w:color w:val="auto"/>
              </w:rPr>
              <w:t>Cash Flow Hedges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760" w:type="dxa"/>
            <w:vAlign w:val="bottom"/>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accrued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7760" w:type="dxa"/>
            <w:vAlign w:val="bottom"/>
          </w:tcPr>
          <w:p>
            <w:pPr>
              <w:ind w:left="220"/>
              <w:spacing w:after="0"/>
              <w:rPr>
                <w:sz w:val="20"/>
                <w:szCs w:val="20"/>
                <w:color w:val="auto"/>
              </w:rPr>
            </w:pPr>
            <w:r>
              <w:rPr>
                <w:rFonts w:ascii="Arial" w:cs="Arial" w:eastAsia="Arial" w:hAnsi="Arial"/>
                <w:sz w:val="18"/>
                <w:szCs w:val="18"/>
                <w:i w:val="1"/>
                <w:iCs w:val="1"/>
                <w:color w:val="auto"/>
              </w:rPr>
              <w:t>Fair Value Hedges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Our long-term debt, due in 2023, was de-designated from the hedging relationship in June 2022. The fair value of the long-term debt designated as a net investment hedge was $577 million as of December 31, 2021.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Accrued and Other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194"/>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other employee-benefits</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Customer-related liabilities</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taxes</w:t>
            </w: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warranty costs</w:t>
            </w: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accrued liabilities</w:t>
            </w:r>
          </w:p>
        </w:tc>
        <w:tc>
          <w:tcPr>
            <w:tcW w:w="10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Credit Facilities and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debt outstanding is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20" w:type="dxa"/>
            <w:vAlign w:val="bottom"/>
          </w:tcPr>
          <w:p>
            <w:pPr>
              <w:jc w:val="right"/>
              <w:ind w:right="17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83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2.250% Senior Notes due 2023 (a)</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3.250% Senior Notes due 2026 (a)</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1.950% Senior Notes due 2028 (a)</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2.250% Senior Notes due 2031 (a)</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4.375% Senior Notes due 2046 (a)</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Debt issuance costs and unamortized discount (b)</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debt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40" w:hanging="332"/>
        <w:spacing w:after="0" w:line="261" w:lineRule="auto"/>
        <w:tabs>
          <w:tab w:leader="none" w:pos="33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2023 was $525 million and $577 million as of June 30, 2022 and December 31, 2021, respectively. The fair value of our Senior Notes due 2026 was $487 million and $537 million as of June 30, 2022 and December 31, 2021 respectively. The fair value of our Senior Notes due 2028 was $446 million and $497 million as of June 30, 2022 and December 31, 2021, respectively. The fair value of our Senior Notes due 2031 was $419 million and $496 million as of June 30, 2022 and December 31, 2021, respectively. The fair value of our Senior Notes due 2046 was $367 million and $481 million as of June 30, 2022 and December 31, 2021, respectively.</w:t>
      </w:r>
    </w:p>
    <w:p>
      <w:pPr>
        <w:spacing w:after="0" w:line="68" w:lineRule="exact"/>
        <w:rPr>
          <w:rFonts w:ascii="Arial" w:cs="Arial" w:eastAsia="Arial" w:hAnsi="Arial"/>
          <w:sz w:val="16"/>
          <w:szCs w:val="16"/>
          <w:color w:val="auto"/>
        </w:rPr>
      </w:pPr>
    </w:p>
    <w:p>
      <w:pPr>
        <w:ind w:left="340" w:right="480" w:hanging="332"/>
        <w:spacing w:after="0" w:line="275" w:lineRule="auto"/>
        <w:tabs>
          <w:tab w:leader="none" w:pos="33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debt issuance costs and unamortized discount are recognized as a reduction in the carrying value of the Senior Notes in the Condensed Consolidated Balance Sheets and are being amortized to interest expense in our Condensed Consolidated Income Statements over the expected remaining terms of the Senior Notes.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w:t>
      </w:r>
    </w:p>
    <w:p>
      <w:pPr>
        <w:spacing w:after="0" w:line="6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Interest on the Green Bond is payable on January 30 and July 30 of each year. As of June 30, 2022, we are in compliance with all covenants for the Green Bond.</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March 11, 2016, we issued 2.250% Senior Notes of €500 million aggregate principal amount due March 2023 (the "Senior Notes due 2023"). 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2021, the Senior Notes due 2023 and the Senior Notes due 2026, the “Senior Notes”).</w:t>
      </w:r>
    </w:p>
    <w:p>
      <w:pPr>
        <w:spacing w:after="0" w:line="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right="280"/>
        <w:spacing w:after="0" w:line="287" w:lineRule="auto"/>
        <w:rPr>
          <w:sz w:val="20"/>
          <w:szCs w:val="20"/>
          <w:color w:val="auto"/>
        </w:rPr>
      </w:pPr>
      <w:r>
        <w:rPr>
          <w:rFonts w:ascii="Arial" w:cs="Arial" w:eastAsia="Arial" w:hAnsi="Arial"/>
          <w:sz w:val="18"/>
          <w:szCs w:val="18"/>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Interest on the Senior Notes due 2021 was payable on April 1 and October 1 of each year. Interest on the Senior Notes due 2023 is payable on March 11 of each year. Interest on the Senior Notes due 2026 and the Senior Notes due 2046 is payable on May 1 and November 1 of each year. As of June 30, 2022, we are in compliance with all covenants for the Senior Notes.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Five-Year Revolving Credit Facility</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March 5, 2019, Xylem entered into a Five-Year Revolving Credit Facility (the “2019 Credit Facility”) with Citibank, N.A., as Administrative Agent, and a syndicate of lenders. The 2019 Credit Facility provides for an aggregate principal amount of up to $800 million (available in U.S. Dollars and in Euros), with increases of up to $200 million for a maximum aggregate principal amount of $1 billion at the request of Xylem and with the consent of the institutions providing such increased commitments.</w:t>
      </w:r>
    </w:p>
    <w:p>
      <w:pPr>
        <w:spacing w:after="0" w:line="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Interest on all loans under the 2019 Credit Facility is payable either quarterly or at the expiration of any LIBOR or EURIBOR interest period applicable thereto. Borrowings accrue interest at a rate equal to, at Xylem's election, a base rate or an adjusted LIBOR or EURIBOR rate plus an applicable margin. The 2019 Credit Facility includes customary provisions for implementation of replacement rates for LIBOR-based and EURIBOR-based loans. The 2019 Credit Facility also includes a pricing grid that determines the applicable margin based on Xylem's credit rating, with a further adjustment depending on Xylem's annual Sustainalytics Environmental, Social and Governance ("ESG") score, determined based on the methodology in effect as of March 5, 2019. Xylem will also pay quarterly fees to each lender for such lender’s commitment to lend accruing on such commitment at a rate based on our credit rating, whether such commitment is used or unused, as well as a quarterly letter of credit fee accruing on the letter of credit exposure of such lender during the preceding quarter at a rate based on the credit rating of Xylem (as adjusted for the ESG score).</w:t>
      </w:r>
    </w:p>
    <w:p>
      <w:pPr>
        <w:spacing w:after="0" w:line="73"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2019 Credit Facility requires that Xylem maintain a consolidated total debt to consolidated EBITDA ratio (or maximum leverage ratio), which will be based on the last four fiscal quarters; and in addition contains a number of customary covenants, including limitations on the incurrence of secured debt and debt of subsidiaries, liens, sale and lease-back transactions, mergers, consolidations, liquidations, dissolutions and sales of assets. The 2019 Credit Facility also contains customary events of default. Finally, Xylem has the ability to designate subsidiaries that can borrow under the 2019 Credit Facility, subject to certain requirements and conditions set forth in the 2019 Credit Facility. As of June 30, 2022, the 2019 Credit Facility was undrawn and we are in compliance with all revolver covenants.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U.S. Dollar commercial paper program generally serves as a means of short-term funding with a $600 million maximum issuing balance and a combined limit of $800 million inclusive of the 2019 Credit Facility. As of June 30, 2022 and December 31, 2021, none of the Company's $600 million U.S. Dollar commercial paper program was outstanding. We have the ability to continue borrowing under this program going forward in future periods.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Commercial Paper Program</w:t>
      </w:r>
    </w:p>
    <w:p>
      <w:pPr>
        <w:spacing w:after="0" w:line="11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On June 3, 2019, Xylem entered into a Euro commercial paper program with ING Bank N.V., as administrative agent, and a syndicate of dealers. The Euro commercial paper program provides for a maximum issuing balance of up to €500 million (approximately $522 million) which may be denominated in a variety of currencies. The maximum issuing balance may be increased in accordance with the Dealer Agreement. As of June 30, 2022 and December 31, 2021, none of the Company's Euro commercial paper program was outstanding. We have the ability to continue borrowing under this program going forward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11. Post-retirement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7"/>
                <w:szCs w:val="17"/>
                <w:color w:val="auto"/>
              </w:rPr>
            </w:pPr>
          </w:p>
        </w:tc>
        <w:tc>
          <w:tcPr>
            <w:tcW w:w="246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196"/>
        </w:trPr>
        <w:tc>
          <w:tcPr>
            <w:tcW w:w="55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2021</w:t>
            </w:r>
          </w:p>
        </w:tc>
      </w:tr>
      <w:tr>
        <w:trPr>
          <w:trHeight w:val="212"/>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Amortization of net actuarial loss</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5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5560" w:type="dxa"/>
            <w:vAlign w:val="bottom"/>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Amortization of net actuarial loss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560" w:type="dxa"/>
            <w:vAlign w:val="bottom"/>
          </w:tcPr>
          <w:p>
            <w:pPr>
              <w:ind w:left="140"/>
              <w:spacing w:after="0"/>
              <w:rPr>
                <w:sz w:val="20"/>
                <w:szCs w:val="20"/>
                <w:color w:val="auto"/>
              </w:rPr>
            </w:pPr>
            <w:r>
              <w:rPr>
                <w:rFonts w:ascii="Arial" w:cs="Arial" w:eastAsia="Arial" w:hAnsi="Arial"/>
                <w:sz w:val="18"/>
                <w:szCs w:val="18"/>
                <w:b w:val="1"/>
                <w:bCs w:val="1"/>
                <w:color w:val="auto"/>
              </w:rPr>
              <w:t>Total net periodic benefit cost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1"/>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"Other non-operating expense, net" in the Condensed Consolidated Income Statements.</w:t>
      </w:r>
    </w:p>
    <w:p>
      <w:pPr>
        <w:spacing w:after="0" w:line="45" w:lineRule="exact"/>
        <w:rPr>
          <w:sz w:val="20"/>
          <w:szCs w:val="20"/>
          <w:color w:val="auto"/>
        </w:rPr>
      </w:pPr>
    </w:p>
    <w:p>
      <w:pPr>
        <w:ind w:right="140"/>
        <w:spacing w:after="0" w:line="318" w:lineRule="auto"/>
        <w:rPr>
          <w:sz w:val="20"/>
          <w:szCs w:val="20"/>
          <w:color w:val="auto"/>
        </w:rPr>
      </w:pPr>
      <w:r>
        <w:rPr>
          <w:rFonts w:ascii="Arial" w:cs="Arial" w:eastAsia="Arial" w:hAnsi="Arial"/>
          <w:sz w:val="17"/>
          <w:szCs w:val="17"/>
          <w:color w:val="auto"/>
        </w:rPr>
        <w:t>The total net periodic benefit cost for other post-retirement employee benefit plans was less than $1 million, including net credits recognized into other comprehensive income of less than $1 million, for both the three and six months ended June 30, 2022 and 2021, respectively.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We contributed $10 million and $12 million to our defined benefit plans during the six months ended June 30, 2022 and 2021,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Additional contributions ranging between approximately $7 million and $13 million are expected to be made during the remainder of 2022.</w:t>
      </w:r>
    </w:p>
    <w:p>
      <w:pPr>
        <w:spacing w:after="0" w:line="9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During the first quarter of 2020, the Company purchased a bulk annuity policy with an insurance company for its largest defined benefit plan in the U.K., as a plan asset, to facilitate the termination and buy-out of the plan. The bulk annuity fully insures the benefits payable to the participants of the plan until a full buy-out of the plan can be executed, which is expected to occur in 2022.</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12.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stockholders' equity for the six months ended June 30,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6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4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Controlling</w:t>
            </w:r>
          </w:p>
        </w:tc>
        <w:tc>
          <w:tcPr>
            <w:tcW w:w="180" w:type="dxa"/>
            <w:vAlign w:val="bottom"/>
          </w:tcPr>
          <w:p>
            <w:pPr>
              <w:spacing w:after="0"/>
              <w:rPr>
                <w:sz w:val="14"/>
                <w:szCs w:val="14"/>
                <w:color w:val="auto"/>
              </w:rPr>
            </w:pPr>
          </w:p>
        </w:tc>
        <w:tc>
          <w:tcPr>
            <w:tcW w:w="70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6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rPr>
              <w:t>Comprehensive Loss</w:t>
            </w:r>
          </w:p>
        </w:tc>
        <w:tc>
          <w:tcPr>
            <w:tcW w:w="1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2,154</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3,226</w:t>
            </w: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76"/>
        </w:trPr>
        <w:tc>
          <w:tcPr>
            <w:tcW w:w="2660" w:type="dxa"/>
            <w:vAlign w:val="bottom"/>
          </w:tcPr>
          <w:p>
            <w:pPr>
              <w:ind w:left="140"/>
              <w:spacing w:after="0" w:line="176" w:lineRule="exact"/>
              <w:rPr>
                <w:sz w:val="20"/>
                <w:szCs w:val="20"/>
                <w:color w:val="auto"/>
              </w:rPr>
            </w:pPr>
            <w:r>
              <w:rPr>
                <w:rFonts w:ascii="Arial" w:cs="Arial" w:eastAsia="Arial" w:hAnsi="Arial"/>
                <w:sz w:val="18"/>
                <w:szCs w:val="18"/>
                <w:color w:val="auto"/>
              </w:rPr>
              <w:t>Dividends declared ($0.30 per</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2"/>
            <w:vMerge w:val="restart"/>
          </w:tcPr>
          <w:p>
            <w:pPr>
              <w:ind w:left="7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43"/>
        </w:trPr>
        <w:tc>
          <w:tcPr>
            <w:tcW w:w="2660" w:type="dxa"/>
            <w:vAlign w:val="bottom"/>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Repurchase of common stock</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2,181</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3,206</w:t>
            </w: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660" w:type="dxa"/>
            <w:vAlign w:val="bottom"/>
          </w:tcPr>
          <w:p>
            <w:pPr>
              <w:ind w:left="140"/>
              <w:spacing w:after="0" w:line="176" w:lineRule="exact"/>
              <w:rPr>
                <w:sz w:val="20"/>
                <w:szCs w:val="20"/>
                <w:color w:val="auto"/>
              </w:rPr>
            </w:pPr>
            <w:r>
              <w:rPr>
                <w:rFonts w:ascii="Arial" w:cs="Arial" w:eastAsia="Arial" w:hAnsi="Arial"/>
                <w:sz w:val="18"/>
                <w:szCs w:val="18"/>
                <w:color w:val="auto"/>
              </w:rPr>
              <w:t>Dividends declared ($0.30 per</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2"/>
            <w:vMerge w:val="restart"/>
          </w:tcPr>
          <w:p>
            <w:pPr>
              <w:ind w:left="7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43"/>
        </w:trPr>
        <w:tc>
          <w:tcPr>
            <w:tcW w:w="2660" w:type="dxa"/>
            <w:vAlign w:val="bottom"/>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40"/>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2,238</w:t>
            </w:r>
          </w:p>
        </w:tc>
        <w:tc>
          <w:tcPr>
            <w:tcW w:w="100" w:type="dxa"/>
            <w:vAlign w:val="bottom"/>
          </w:tcPr>
          <w:p>
            <w:pPr>
              <w:spacing w:after="0"/>
              <w:rPr>
                <w:sz w:val="20"/>
                <w:szCs w:val="20"/>
                <w:color w:val="auto"/>
              </w:rPr>
            </w:pP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shows the changes in stockholders' equity for the six months ended June 30, 2021: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6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4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Controlling</w:t>
            </w:r>
          </w:p>
        </w:tc>
        <w:tc>
          <w:tcPr>
            <w:tcW w:w="180" w:type="dxa"/>
            <w:vAlign w:val="bottom"/>
          </w:tcPr>
          <w:p>
            <w:pPr>
              <w:spacing w:after="0"/>
              <w:rPr>
                <w:sz w:val="14"/>
                <w:szCs w:val="14"/>
                <w:color w:val="auto"/>
              </w:rPr>
            </w:pPr>
          </w:p>
        </w:tc>
        <w:tc>
          <w:tcPr>
            <w:tcW w:w="70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6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rPr>
              <w:t>Comprehensive Loss</w:t>
            </w:r>
          </w:p>
        </w:tc>
        <w:tc>
          <w:tcPr>
            <w:tcW w:w="1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Other comprehensive loss, net</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($0.28 per</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19"/>
                <w:szCs w:val="19"/>
                <w:color w:val="auto"/>
              </w:rPr>
            </w:pP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2,946</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76"/>
        </w:trPr>
        <w:tc>
          <w:tcPr>
            <w:tcW w:w="2660" w:type="dxa"/>
            <w:vAlign w:val="bottom"/>
          </w:tcPr>
          <w:p>
            <w:pPr>
              <w:ind w:left="140"/>
              <w:spacing w:after="0" w:line="176" w:lineRule="exact"/>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2660" w:type="dxa"/>
            <w:vAlign w:val="bottom"/>
          </w:tcPr>
          <w:p>
            <w:pPr>
              <w:ind w:left="14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7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($0.28 per</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13. Share-Based Compensation Plans</w:t>
      </w:r>
    </w:p>
    <w:p>
      <w:pPr>
        <w:spacing w:after="0" w:line="117"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Share-based compensation expense was $9 million and $ 18 million during the three and six months ended June 30, 2022, respectively, and $8 million and $17 million during the three and six months ended June 30, 2021, respectively. The unrecognized compensation expense related to our stock options, restricted stock units and performance share units was $9 million, $ 35 million and $17 million, respectively, at June 30, 2022 and is expected to be recognized over a weighted average period of 2.0, 2.1 and 2.4 years, respectively. The amount of cash received from the exercise of stock options was $3 million and $9 million for the six months ended June 30, 2022 and 2021,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stock options for the six months ended June 30, 2022</w:t>
      </w:r>
      <w:r>
        <w:rPr>
          <w:rFonts w:ascii="Arial" w:cs="Arial" w:eastAsia="Arial" w:hAnsi="Arial"/>
          <w:sz w:val="16"/>
          <w:szCs w:val="16"/>
          <w:color w:val="auto"/>
        </w:rPr>
        <w: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14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500" w:type="dxa"/>
            <w:vAlign w:val="bottom"/>
          </w:tcPr>
          <w:p>
            <w:pPr>
              <w:spacing w:after="0"/>
              <w:rPr>
                <w:sz w:val="12"/>
                <w:szCs w:val="12"/>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Average</w:t>
            </w:r>
          </w:p>
        </w:tc>
        <w:tc>
          <w:tcPr>
            <w:tcW w:w="14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Exercise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2"/>
                <w:szCs w:val="12"/>
                <w:color w:val="auto"/>
              </w:rPr>
            </w:pPr>
          </w:p>
        </w:tc>
        <w:tc>
          <w:tcPr>
            <w:tcW w:w="11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 / Share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(Years)</w:t>
            </w:r>
          </w:p>
        </w:tc>
        <w:tc>
          <w:tcPr>
            <w:tcW w:w="140" w:type="dxa"/>
            <w:vAlign w:val="bottom"/>
          </w:tcPr>
          <w:p>
            <w:pPr>
              <w:spacing w:after="0"/>
              <w:rPr>
                <w:sz w:val="16"/>
                <w:szCs w:val="16"/>
                <w:color w:val="auto"/>
              </w:rPr>
            </w:pPr>
          </w:p>
        </w:tc>
        <w:tc>
          <w:tcPr>
            <w:tcW w:w="1140" w:type="dxa"/>
            <w:vAlign w:val="bottom"/>
          </w:tcPr>
          <w:p>
            <w:pPr>
              <w:jc w:val="center"/>
              <w:ind w:right="58"/>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2022</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ind w:left="718"/>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86.76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and expired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90.49</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June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67.69</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center"/>
              <w:ind w:left="698"/>
              <w:spacing w:after="0"/>
              <w:rPr>
                <w:sz w:val="20"/>
                <w:szCs w:val="20"/>
                <w:color w:val="auto"/>
              </w:rPr>
            </w:pPr>
            <w:r>
              <w:rPr>
                <w:rFonts w:ascii="Arial" w:cs="Arial" w:eastAsia="Arial" w:hAnsi="Arial"/>
                <w:sz w:val="18"/>
                <w:szCs w:val="18"/>
                <w:b w:val="1"/>
                <w:bCs w:val="1"/>
                <w:color w:val="auto"/>
                <w:w w:val="99"/>
              </w:rPr>
              <w:t>32</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Options exercisable at June 30, 2022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59.14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center"/>
              <w:ind w:left="698"/>
              <w:spacing w:after="0"/>
              <w:rPr>
                <w:sz w:val="20"/>
                <w:szCs w:val="20"/>
                <w:color w:val="auto"/>
              </w:rPr>
            </w:pPr>
            <w:r>
              <w:rPr>
                <w:rFonts w:ascii="Arial" w:cs="Arial" w:eastAsia="Arial" w:hAnsi="Arial"/>
                <w:sz w:val="18"/>
                <w:szCs w:val="18"/>
                <w:b w:val="1"/>
                <w:bCs w:val="1"/>
                <w:color w:val="auto"/>
                <w:w w:val="99"/>
              </w:rPr>
              <w:t>30</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Vested and expected to vest as of June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66.91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center"/>
              <w:ind w:left="698"/>
              <w:spacing w:after="0"/>
              <w:rPr>
                <w:sz w:val="20"/>
                <w:szCs w:val="20"/>
                <w:color w:val="auto"/>
              </w:rPr>
            </w:pPr>
            <w:r>
              <w:rPr>
                <w:rFonts w:ascii="Arial" w:cs="Arial" w:eastAsia="Arial" w:hAnsi="Arial"/>
                <w:sz w:val="18"/>
                <w:szCs w:val="18"/>
                <w:b w:val="1"/>
                <w:bCs w:val="1"/>
                <w:color w:val="auto"/>
                <w:w w:val="99"/>
              </w:rPr>
              <w:t>31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total intrinsic value of options exercised (which is the amount by which the stock price exceeded the exercise price of the options on the date of exercise) during the six months ended June 30, 2022 was $2.1 million.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Fair Value</w:t>
      </w:r>
    </w:p>
    <w:p>
      <w:pPr>
        <w:spacing w:after="0" w:line="11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assumptions such as employee exercise patterns, stock price volatility and changes in dividends. The following are weighted-average assumptions for 2022 grants:</w:t>
      </w:r>
    </w:p>
    <w:tbl>
      <w:tblPr>
        <w:tblLayout w:type="fixed"/>
        <w:tblInd w:w="0" w:type="dxa"/>
        <w:tblCellMar>
          <w:top w:w="0" w:type="dxa"/>
          <w:left w:w="0" w:type="dxa"/>
          <w:bottom w:w="0" w:type="dxa"/>
          <w:right w:w="0" w:type="dxa"/>
        </w:tblCellMar>
      </w:tblP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yield</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Expected term (in years)</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300" w:type="dxa"/>
            <w:vAlign w:val="bottom"/>
          </w:tcPr>
          <w:p>
            <w:pPr>
              <w:spacing w:after="0"/>
              <w:rPr>
                <w:sz w:val="19"/>
                <w:szCs w:val="19"/>
                <w:color w:val="auto"/>
              </w:rPr>
            </w:pPr>
          </w:p>
        </w:tc>
      </w:t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fair value / share</w:t>
            </w:r>
          </w:p>
        </w:tc>
        <w:tc>
          <w:tcPr>
            <w:tcW w:w="3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19.86</w:t>
            </w:r>
          </w:p>
        </w:tc>
        <w:tc>
          <w:tcPr>
            <w:tcW w:w="300" w:type="dxa"/>
            <w:vAlign w:val="bottom"/>
            <w:shd w:val="clear" w:color="auto" w:fill="CCEEFF"/>
          </w:tcPr>
          <w:p>
            <w:pPr>
              <w:spacing w:after="0"/>
              <w:rPr>
                <w:sz w:val="19"/>
                <w:szCs w:val="19"/>
                <w:color w:val="auto"/>
              </w:rPr>
            </w:pPr>
          </w:p>
        </w:tc>
      </w:tr>
    </w:tbl>
    <w:p>
      <w:pPr>
        <w:spacing w:after="0" w:line="17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U.S. Treasury yield curve in effect at the time of option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15"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The following is a summary of restricted stock unit activity for the six months ended June 30, 2022</w:t>
      </w:r>
      <w:r>
        <w:rPr>
          <w:rFonts w:ascii="Arial" w:cs="Arial" w:eastAsia="Arial" w:hAnsi="Arial"/>
          <w:sz w:val="16"/>
          <w:szCs w:val="16"/>
          <w:color w:val="auto"/>
        </w:rPr>
        <w:t>.</w:t>
      </w:r>
      <w:r>
        <w:rPr>
          <w:rFonts w:ascii="Arial" w:cs="Arial" w:eastAsia="Arial" w:hAnsi="Arial"/>
          <w:sz w:val="18"/>
          <w:szCs w:val="18"/>
          <w:color w:val="auto"/>
        </w:rPr>
        <w:t xml:space="preserve"> The fair value of the restricted share unit awards is determined using the closing price of our common stock on date of grant:</w:t>
      </w:r>
    </w:p>
    <w:tbl>
      <w:tblPr>
        <w:tblLayout w:type="fixed"/>
        <w:tblInd w:w="0" w:type="dxa"/>
        <w:tblCellMar>
          <w:top w:w="0" w:type="dxa"/>
          <w:left w:w="0" w:type="dxa"/>
          <w:bottom w:w="0" w:type="dxa"/>
          <w:right w:w="0" w:type="dxa"/>
        </w:tblCellMar>
      </w:tblPr>
      <w:tr>
        <w:trPr>
          <w:trHeight w:val="149"/>
        </w:trPr>
        <w:tc>
          <w:tcPr>
            <w:tcW w:w="7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2"/>
                <w:szCs w:val="12"/>
                <w:color w:val="auto"/>
              </w:rPr>
            </w:pPr>
          </w:p>
        </w:tc>
        <w:tc>
          <w:tcPr>
            <w:tcW w:w="1500" w:type="dxa"/>
            <w:vAlign w:val="bottom"/>
          </w:tcPr>
          <w:p>
            <w:pPr>
              <w:jc w:val="center"/>
              <w:ind w:right="98"/>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2022</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86.42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84.40</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91.34</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June 30,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ROIC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Return on Invested Capital ("ROIC") performance share unit grants for the six months ended June 30, 2022.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ROIC performance share units is equal to the closing share price on the date of the grant: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rPr>
              <w:t>Weighted</w:t>
            </w:r>
          </w:p>
        </w:tc>
      </w:tr>
      <w:tr>
        <w:trPr>
          <w:trHeight w:val="139"/>
        </w:trPr>
        <w:tc>
          <w:tcPr>
            <w:tcW w:w="7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9"/>
              <w:spacing w:after="0" w:line="139" w:lineRule="exact"/>
              <w:rPr>
                <w:sz w:val="20"/>
                <w:szCs w:val="20"/>
                <w:color w:val="auto"/>
              </w:rPr>
            </w:pPr>
            <w:r>
              <w:rPr>
                <w:rFonts w:ascii="Arial" w:cs="Arial" w:eastAsia="Arial" w:hAnsi="Arial"/>
                <w:sz w:val="14"/>
                <w:szCs w:val="14"/>
                <w:b w:val="1"/>
                <w:bCs w:val="1"/>
                <w:color w:val="auto"/>
              </w:rPr>
              <w:t>Average</w:t>
            </w:r>
          </w:p>
        </w:tc>
      </w:tr>
      <w:tr>
        <w:trPr>
          <w:trHeight w:val="158"/>
        </w:trPr>
        <w:tc>
          <w:tcPr>
            <w:tcW w:w="7800" w:type="dxa"/>
            <w:vAlign w:val="bottom"/>
          </w:tcPr>
          <w:p>
            <w:pPr>
              <w:spacing w:after="0"/>
              <w:rPr>
                <w:sz w:val="13"/>
                <w:szCs w:val="13"/>
                <w:color w:val="auto"/>
              </w:rPr>
            </w:pPr>
          </w:p>
        </w:tc>
        <w:tc>
          <w:tcPr>
            <w:tcW w:w="17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3"/>
                <w:szCs w:val="13"/>
                <w:color w:val="auto"/>
              </w:rPr>
            </w:pPr>
          </w:p>
        </w:tc>
        <w:tc>
          <w:tcPr>
            <w:tcW w:w="1500" w:type="dxa"/>
            <w:vAlign w:val="bottom"/>
          </w:tcPr>
          <w:p>
            <w:pPr>
              <w:jc w:val="center"/>
              <w:ind w:right="79"/>
              <w:spacing w:after="0" w:line="158" w:lineRule="exact"/>
              <w:rPr>
                <w:sz w:val="20"/>
                <w:szCs w:val="20"/>
                <w:color w:val="auto"/>
              </w:rPr>
            </w:pPr>
            <w:r>
              <w:rPr>
                <w:rFonts w:ascii="Arial" w:cs="Arial" w:eastAsia="Arial" w:hAnsi="Arial"/>
                <w:sz w:val="14"/>
                <w:szCs w:val="14"/>
                <w:b w:val="1"/>
                <w:bCs w:val="1"/>
                <w:color w:val="auto"/>
              </w:rPr>
              <w:t>Grant Date</w:t>
            </w: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rPr>
              <w:t>Fair Value / Share</w:t>
            </w: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2022</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84.84</w:t>
            </w: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86.76</w:t>
            </w: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 (a)</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75.49</w:t>
            </w: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b w:val="1"/>
                <w:bCs w:val="1"/>
                <w:color w:val="auto"/>
              </w:rPr>
              <w:t>Outstanding at June 30, 2022</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88.89</w:t>
            </w:r>
          </w:p>
        </w:tc>
      </w:tr>
      <w:tr>
        <w:trPr>
          <w:trHeight w:val="20"/>
        </w:trPr>
        <w:tc>
          <w:tcPr>
            <w:tcW w:w="78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 Includes ROIC performance share unit awards forfeited during the period as a result of the final performance condition not being achieved on vest date.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TSR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Shareholder Return ("TSR") performance share unit grants for the six months ended June 30, 2022:</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7"/>
              <w:spacing w:after="0"/>
              <w:rPr>
                <w:sz w:val="20"/>
                <w:szCs w:val="20"/>
                <w:color w:val="auto"/>
              </w:rPr>
            </w:pPr>
            <w:r>
              <w:rPr>
                <w:rFonts w:ascii="Arial" w:cs="Arial" w:eastAsia="Arial" w:hAnsi="Arial"/>
                <w:sz w:val="14"/>
                <w:szCs w:val="14"/>
                <w:b w:val="1"/>
                <w:bCs w:val="1"/>
                <w:color w:val="auto"/>
              </w:rPr>
              <w:t>Weighted</w:t>
            </w:r>
          </w:p>
        </w:tc>
      </w:tr>
      <w:tr>
        <w:trPr>
          <w:trHeight w:val="139"/>
        </w:trPr>
        <w:tc>
          <w:tcPr>
            <w:tcW w:w="7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7"/>
              <w:spacing w:after="0" w:line="139" w:lineRule="exact"/>
              <w:rPr>
                <w:sz w:val="20"/>
                <w:szCs w:val="20"/>
                <w:color w:val="auto"/>
              </w:rPr>
            </w:pPr>
            <w:r>
              <w:rPr>
                <w:rFonts w:ascii="Arial" w:cs="Arial" w:eastAsia="Arial" w:hAnsi="Arial"/>
                <w:sz w:val="14"/>
                <w:szCs w:val="14"/>
                <w:b w:val="1"/>
                <w:bCs w:val="1"/>
                <w:color w:val="auto"/>
              </w:rPr>
              <w:t>Average</w:t>
            </w:r>
          </w:p>
        </w:tc>
      </w:tr>
      <w:tr>
        <w:trPr>
          <w:trHeight w:val="158"/>
        </w:trPr>
        <w:tc>
          <w:tcPr>
            <w:tcW w:w="7800" w:type="dxa"/>
            <w:vAlign w:val="bottom"/>
          </w:tcPr>
          <w:p>
            <w:pPr>
              <w:spacing w:after="0"/>
              <w:rPr>
                <w:sz w:val="13"/>
                <w:szCs w:val="13"/>
                <w:color w:val="auto"/>
              </w:rPr>
            </w:pPr>
          </w:p>
        </w:tc>
        <w:tc>
          <w:tcPr>
            <w:tcW w:w="17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3"/>
                <w:szCs w:val="13"/>
                <w:color w:val="auto"/>
              </w:rPr>
            </w:pPr>
          </w:p>
        </w:tc>
        <w:tc>
          <w:tcPr>
            <w:tcW w:w="1500" w:type="dxa"/>
            <w:vAlign w:val="bottom"/>
          </w:tcPr>
          <w:p>
            <w:pPr>
              <w:jc w:val="center"/>
              <w:ind w:right="77"/>
              <w:spacing w:after="0" w:line="158" w:lineRule="exact"/>
              <w:rPr>
                <w:sz w:val="20"/>
                <w:szCs w:val="20"/>
                <w:color w:val="auto"/>
              </w:rPr>
            </w:pPr>
            <w:r>
              <w:rPr>
                <w:rFonts w:ascii="Arial" w:cs="Arial" w:eastAsia="Arial" w:hAnsi="Arial"/>
                <w:sz w:val="14"/>
                <w:szCs w:val="14"/>
                <w:b w:val="1"/>
                <w:bCs w:val="1"/>
                <w:color w:val="auto"/>
              </w:rPr>
              <w:t>Grant Date</w:t>
            </w: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7"/>
              <w:spacing w:after="0"/>
              <w:rPr>
                <w:sz w:val="20"/>
                <w:szCs w:val="20"/>
                <w:color w:val="auto"/>
              </w:rPr>
            </w:pPr>
            <w:r>
              <w:rPr>
                <w:rFonts w:ascii="Arial" w:cs="Arial" w:eastAsia="Arial" w:hAnsi="Arial"/>
                <w:sz w:val="14"/>
                <w:szCs w:val="14"/>
                <w:b w:val="1"/>
                <w:bCs w:val="1"/>
                <w:color w:val="auto"/>
              </w:rPr>
              <w:t>Fair Value / Share</w:t>
            </w: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2022</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102.96</w:t>
            </w: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71.14</w:t>
            </w: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 for Market Condition Achieved (a)</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w:t>
            </w: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89.62</w:t>
            </w: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87.54</w:t>
            </w: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b w:val="1"/>
                <w:bCs w:val="1"/>
                <w:color w:val="auto"/>
              </w:rPr>
              <w:t>Outstanding at June 30, 2022</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100.64</w:t>
            </w:r>
          </w:p>
        </w:tc>
      </w:tr>
      <w:tr>
        <w:trPr>
          <w:trHeight w:val="20"/>
        </w:trPr>
        <w:tc>
          <w:tcPr>
            <w:tcW w:w="78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0" w:firstLine="8"/>
        <w:spacing w:after="0" w:line="304" w:lineRule="auto"/>
        <w:tabs>
          <w:tab w:leader="none" w:pos="243"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an increase in the number of original TSR performance share units awarded based on the final market condition achievement at the end of the performance period of such awards.</w:t>
      </w:r>
    </w:p>
    <w:p>
      <w:pPr>
        <w:spacing w:after="0" w:line="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TSR performance share units was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assumptions for 2022 grants: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9"/>
        </w:trPr>
        <w:tc>
          <w:tcPr>
            <w:tcW w:w="6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47"/>
        </w:trPr>
        <w:tc>
          <w:tcPr>
            <w:tcW w:w="614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466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4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Revenue performance share unit grants for the six months ended June 30,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rPr>
              <w:t>Weighted</w:t>
            </w:r>
          </w:p>
        </w:tc>
      </w:tr>
      <w:tr>
        <w:trPr>
          <w:trHeight w:val="139"/>
        </w:trPr>
        <w:tc>
          <w:tcPr>
            <w:tcW w:w="7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9"/>
              <w:spacing w:after="0" w:line="139" w:lineRule="exact"/>
              <w:rPr>
                <w:sz w:val="20"/>
                <w:szCs w:val="20"/>
                <w:color w:val="auto"/>
              </w:rPr>
            </w:pPr>
            <w:r>
              <w:rPr>
                <w:rFonts w:ascii="Arial" w:cs="Arial" w:eastAsia="Arial" w:hAnsi="Arial"/>
                <w:sz w:val="14"/>
                <w:szCs w:val="14"/>
                <w:b w:val="1"/>
                <w:bCs w:val="1"/>
                <w:color w:val="auto"/>
              </w:rPr>
              <w:t>Average</w:t>
            </w:r>
          </w:p>
        </w:tc>
      </w:tr>
      <w:tr>
        <w:trPr>
          <w:trHeight w:val="158"/>
        </w:trPr>
        <w:tc>
          <w:tcPr>
            <w:tcW w:w="7800" w:type="dxa"/>
            <w:vAlign w:val="bottom"/>
          </w:tcPr>
          <w:p>
            <w:pPr>
              <w:spacing w:after="0"/>
              <w:rPr>
                <w:sz w:val="13"/>
                <w:szCs w:val="13"/>
                <w:color w:val="auto"/>
              </w:rPr>
            </w:pPr>
          </w:p>
        </w:tc>
        <w:tc>
          <w:tcPr>
            <w:tcW w:w="1340" w:type="dxa"/>
            <w:vAlign w:val="bottom"/>
          </w:tcPr>
          <w:p>
            <w:pPr>
              <w:jc w:val="center"/>
              <w:ind w:left="248"/>
              <w:spacing w:after="0" w:line="158" w:lineRule="exact"/>
              <w:rPr>
                <w:sz w:val="20"/>
                <w:szCs w:val="20"/>
                <w:color w:val="auto"/>
              </w:rPr>
            </w:pPr>
            <w:r>
              <w:rPr>
                <w:rFonts w:ascii="Arial" w:cs="Arial" w:eastAsia="Arial" w:hAnsi="Arial"/>
                <w:sz w:val="14"/>
                <w:szCs w:val="14"/>
                <w:b w:val="1"/>
                <w:bCs w:val="1"/>
                <w:color w:val="auto"/>
              </w:rPr>
              <w:t>Share units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center"/>
              <w:ind w:right="79"/>
              <w:spacing w:after="0" w:line="158" w:lineRule="exact"/>
              <w:rPr>
                <w:sz w:val="20"/>
                <w:szCs w:val="20"/>
                <w:color w:val="auto"/>
              </w:rPr>
            </w:pPr>
            <w:r>
              <w:rPr>
                <w:rFonts w:ascii="Arial" w:cs="Arial" w:eastAsia="Arial" w:hAnsi="Arial"/>
                <w:sz w:val="14"/>
                <w:szCs w:val="14"/>
                <w:b w:val="1"/>
                <w:bCs w:val="1"/>
                <w:color w:val="auto"/>
              </w:rPr>
              <w:t>Grant Date</w:t>
            </w:r>
          </w:p>
        </w:tc>
      </w:tr>
      <w:tr>
        <w:trPr>
          <w:trHeight w:val="189"/>
        </w:trPr>
        <w:tc>
          <w:tcPr>
            <w:tcW w:w="78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Fair Value / Share</w:t>
            </w: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January 1, 2022</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14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86.76</w:t>
            </w:r>
          </w:p>
        </w:tc>
      </w:tr>
      <w:tr>
        <w:trPr>
          <w:trHeight w:val="230"/>
        </w:trPr>
        <w:tc>
          <w:tcPr>
            <w:tcW w:w="9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b w:val="1"/>
                <w:bCs w:val="1"/>
                <w:color w:val="auto"/>
              </w:rPr>
              <w:t>Outstanding at June 30, 2022</w:t>
            </w:r>
          </w:p>
        </w:tc>
        <w:tc>
          <w:tcPr>
            <w:tcW w:w="13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86.76</w:t>
            </w:r>
          </w:p>
        </w:tc>
      </w:tr>
      <w:tr>
        <w:trPr>
          <w:trHeight w:val="21"/>
        </w:trPr>
        <w:tc>
          <w:tcPr>
            <w:tcW w:w="78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Revenue performance share unit awards is determined using the closing price of our common stock on date of grant.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shares will vest contingent upon the achievement of a pre-set, three-year Revenue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Capital Stock</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three and six months ended June 30, 2022, the Company repurchased less than 0.1 million shares of common stock for $0.5 million and approximately 0.6 million shares of common stock for $52 million, respectively. For the three and six months ended June 30, 2021, the Company repurchased less than 0.1 million shares of common stock for $1 million and approximately 0.7 million shares of common stock for $68 million, respectively Repurchases include both share repurchase programs approved by the Board of Directors and repurchases in relation to settlement of employee tax withholding obligations due as a result of the vesting of restricted stock units. The details of repurchases by each program are as follows:</w:t>
      </w:r>
    </w:p>
    <w:p>
      <w:pPr>
        <w:spacing w:after="0" w:line="7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stockholders and maintains our focus on growth. There were no shares repurchased under the program for the three months ended June 30, 2022. For the six months ended June 30, 2022, we repurchased</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0.5 million shares for approximately $ 46 million. There were no shares repurchased under the program for the three months ended June 30, 2021. For the six months ended June 30, 2021, we repurchased 0.6 million shares for approximately $60 million. There are up to $182 million in shares that may still be purchased under this plan as of June 30, 2022.</w:t>
      </w:r>
    </w:p>
    <w:p>
      <w:pPr>
        <w:spacing w:after="0" w:line="70"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Aside from the aforementioned repurchase program, we repurchased less than 0.1 million shares and approximately 0.1 million shares for less than $1 million and approximately $6 million for the three and six months ended June 30, 2022, respectively, in relation to settlement of employee tax withholding obligations due as a result of the vesting of restricted stock units. Likewise, we repurchased less than 0.1 million shares and approximately 0.1 million shares for $1 million and $8 million for the three and six months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15. Accumulated Other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the six months ended June 30,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Amortization of prior service cost and net actuarial loss on post-</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40" w:type="dxa"/>
            <w:vAlign w:val="bottom"/>
          </w:tcPr>
          <w:p>
            <w:pPr>
              <w:ind w:left="140"/>
              <w:spacing w:after="0" w:line="183" w:lineRule="exact"/>
              <w:rPr>
                <w:sz w:val="20"/>
                <w:szCs w:val="20"/>
                <w:color w:val="auto"/>
              </w:rPr>
            </w:pPr>
            <w:r>
              <w:rPr>
                <w:rFonts w:ascii="Arial" w:cs="Arial" w:eastAsia="Arial" w:hAnsi="Arial"/>
                <w:sz w:val="18"/>
                <w:szCs w:val="18"/>
                <w:color w:val="auto"/>
              </w:rPr>
              <w:t>retirement benefit plans into other non-operating income</w:t>
            </w:r>
          </w:p>
        </w:tc>
        <w:tc>
          <w:tcPr>
            <w:tcW w:w="220" w:type="dxa"/>
            <w:vAlign w:val="bottom"/>
          </w:tcPr>
          <w:p>
            <w:pPr>
              <w:spacing w:after="0"/>
              <w:rPr>
                <w:sz w:val="15"/>
                <w:szCs w:val="15"/>
                <w:color w:val="auto"/>
              </w:rPr>
            </w:pP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5"/>
        </w:trPr>
        <w:tc>
          <w:tcPr>
            <w:tcW w:w="524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(265)</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Amortization of prior service cost and net actuarial loss on post-</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4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retirement benefit plans into other non-operating income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5"/>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net</w:t>
            </w:r>
          </w:p>
        </w:tc>
        <w:tc>
          <w:tcPr>
            <w:tcW w:w="22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tcPr>
          <w:p>
            <w:pPr>
              <w:spacing w:after="0"/>
              <w:rPr>
                <w:sz w:val="15"/>
                <w:szCs w:val="15"/>
                <w:color w:val="auto"/>
              </w:rPr>
            </w:pP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Income tax benefit on unrealized gain on derivative hedge</w:t>
            </w:r>
          </w:p>
        </w:tc>
        <w:tc>
          <w:tcPr>
            <w:tcW w:w="220" w:type="dxa"/>
            <w:vAlign w:val="bottom"/>
          </w:tcPr>
          <w:p>
            <w:pPr>
              <w:spacing w:after="0"/>
              <w:rPr>
                <w:sz w:val="15"/>
                <w:szCs w:val="15"/>
                <w:color w:val="auto"/>
              </w:rPr>
            </w:pP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tcPr>
          <w:p>
            <w:pPr>
              <w:spacing w:after="0"/>
              <w:rPr>
                <w:sz w:val="15"/>
                <w:szCs w:val="15"/>
                <w:color w:val="auto"/>
              </w:rPr>
            </w:pPr>
          </w:p>
        </w:tc>
        <w:tc>
          <w:tcPr>
            <w:tcW w:w="1280" w:type="dxa"/>
            <w:vAlign w:val="bottom"/>
            <w:gridSpan w:val="2"/>
            <w:vMerge w:val="restart"/>
          </w:tcPr>
          <w:p>
            <w:pPr>
              <w:ind w:left="9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2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the six months ended June 30, 2021: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Amortization of prior service cost and net actuarial loss on post-</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40" w:type="dxa"/>
            <w:vAlign w:val="bottom"/>
          </w:tcPr>
          <w:p>
            <w:pPr>
              <w:ind w:left="140"/>
              <w:spacing w:after="0" w:line="183" w:lineRule="exact"/>
              <w:rPr>
                <w:sz w:val="20"/>
                <w:szCs w:val="20"/>
                <w:color w:val="auto"/>
              </w:rPr>
            </w:pPr>
            <w:r>
              <w:rPr>
                <w:rFonts w:ascii="Arial" w:cs="Arial" w:eastAsia="Arial" w:hAnsi="Arial"/>
                <w:sz w:val="18"/>
                <w:szCs w:val="18"/>
                <w:color w:val="auto"/>
              </w:rPr>
              <w:t>retirement benefit plans into other non-operating income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5"/>
        </w:trPr>
        <w:tc>
          <w:tcPr>
            <w:tcW w:w="524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22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benefit on unrealized loss on derivative hedge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Amortization of prior service cost and net actuarial loss on post-</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4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retirement benefit plans into other non-operating income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5"/>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net</w:t>
            </w:r>
          </w:p>
        </w:tc>
        <w:tc>
          <w:tcPr>
            <w:tcW w:w="22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2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5"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contract issues and commercial or contractual disputes.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See Note 4, "Income Taxes", of our condensed consolidated financial statements for a description of a pending tax litigation matter.</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 We have estimated and accrued $4 million as of June 30, 2022 and December 31, 2021 for these general legal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insurance-related requirements. As of June 30, 2022 and December 31, 2021, the amount of surety bonds, bank guarantees, insurance letters of credit, stand-by letters of credit as well as revenue and customs guarantees was $447 million and $415 million,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These sites are in various stages of investigation and/or remediation and in many of these proceedings our liability is considered de minimis. We have received notification from the U.S. Environmental Protection Agency, and from similar state and foreign environmental agencies, that a number of sites formerly or currently owned and/or operated by Xylem or for which we are responsible, and other properties or water supplies that may be or have been impacted from those operations, contain disposed or recycled materials or wastes and require environmental investigation and/or remediation. These sites include instances where we have been identified as a potentially responsible party under federal and state environmental laws and regulations.</w:t>
      </w:r>
    </w:p>
    <w:p>
      <w:pPr>
        <w:spacing w:after="0" w:line="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accrued liabilities for these environmental matters represent our best estimates related to the investigation and remediation of environmental media such as water, soil, soil vapor, air and structures, as well as related legal fees. These estimates, and related accruals, are reviewed quarterly and updated for progress of investigation and remediation efforts and changes in facts and legal circumstances. Liabilities for these environmental expenditures are recorded on an undiscounted basis. We have estimated and accrued $4 million and $3 million as of June 30, 2022 and December 31, 2021 for environmental matters.</w:t>
      </w:r>
    </w:p>
    <w:p>
      <w:pPr>
        <w:spacing w:after="0" w:line="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It is difficult to estimate the final costs of investigation and remediation due to various factors, including incomplete information regarding particular sites and other potentially responsible parties, uncertainty regarding the extent of investigation or remediation and our share, if any, of liability for such conditions, the selection of alternative remedial approaches, and changes in environmental standards and regulatory requirements. We believe the total amount accrued is reasonable based on existing facts and circumstances.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15" w:lineRule="exact"/>
        <w:rPr>
          <w:sz w:val="20"/>
          <w:szCs w:val="20"/>
          <w:color w:val="auto"/>
        </w:rPr>
      </w:pPr>
    </w:p>
    <w:p>
      <w:pPr>
        <w:ind w:right="600"/>
        <w:spacing w:after="0" w:line="295" w:lineRule="auto"/>
        <w:rPr>
          <w:sz w:val="20"/>
          <w:szCs w:val="20"/>
          <w:color w:val="auto"/>
        </w:rPr>
      </w:pPr>
      <w:r>
        <w:rPr>
          <w:rFonts w:ascii="Arial" w:cs="Arial" w:eastAsia="Arial" w:hAnsi="Arial"/>
          <w:sz w:val="17"/>
          <w:szCs w:val="17"/>
          <w:color w:val="auto"/>
        </w:rPr>
        <w:t>We warrant numerous products, the terms of which vary widely. In general, we warrant products against defect and specific non-performance. The table below provides changes in the combined current and non-current product warranty accruals over each period: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2021</w:t>
            </w:r>
          </w:p>
        </w:tc>
      </w:tr>
      <w:tr>
        <w:trPr>
          <w:trHeight w:val="224"/>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Warranty accrual –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Net charges for product warranties in the period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of warranty claims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Warranty accrual - June 30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17. Segment Information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has three reportable segments: Water Infrastructure, Applied Water and Measurement &amp; Control Solutions. The Water Infrastructure segment focuses on the transportation and treatment of water, offering a range of products including water, wastewater and storm water pumps, treatment equipment, and controls and systems. The Applied Water segment serves many of the primary uses of water and focuses on the residential, commercial and industrial markets. The Applied Water segment's major products include pumps, valves, heat exchangers, controls and dispensing equipment. The Measurement &amp; Control Solutions segment focuses on developing advanced technology solutions that enable intelligent use and conservation of critical water and energy resources as well as analytical instrumentation used in the testing of water. The Measurement &amp; Control Solutions segment's major products include smart metering, networked communications, measurement and control technologies, critical infrastructure technologies, software and services including cloud-based analytics, remote monitoring and data management, leak detection and pressure monitoring solutions and testing equipment.</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0" w:name="page31"/>
    <w:bookmarkEnd w:id="30"/>
    <w:p>
      <w:pPr>
        <w:ind w:right="60"/>
        <w:spacing w:after="0" w:line="279" w:lineRule="auto"/>
        <w:rPr>
          <w:sz w:val="20"/>
          <w:szCs w:val="20"/>
          <w:color w:val="auto"/>
        </w:rPr>
      </w:pPr>
      <w:r>
        <w:rPr>
          <w:rFonts w:ascii="Arial" w:cs="Arial" w:eastAsia="Arial" w:hAnsi="Arial"/>
          <w:sz w:val="18"/>
          <w:szCs w:val="18"/>
          <w:color w:val="auto"/>
        </w:rPr>
        <w:t>The accounting policies of each segment are the same as those described in the Summary of Significant Accounting Policies section of Note 1 in the 2021 Annual Report. The following table contains financial information for each reportable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7"/>
                <w:szCs w:val="17"/>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212"/>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2,636</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Arial" w:cs="Arial" w:eastAsia="Arial" w:hAnsi="Arial"/>
                <w:sz w:val="18"/>
                <w:szCs w:val="18"/>
                <w:color w:val="auto"/>
              </w:rPr>
              <w:t>Total operating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Other non-operating income,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from sale of business</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Arial" w:cs="Arial" w:eastAsia="Arial" w:hAnsi="Arial"/>
                <w:sz w:val="18"/>
                <w:szCs w:val="18"/>
                <w:color w:val="auto"/>
              </w:rPr>
              <w:t>Income before taxes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selling locations (a)</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&amp; Control Solutions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Regional selling locations (b)</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80" w:hanging="332"/>
        <w:spacing w:after="0" w:line="266"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Depreciation and amortization expense incurred by the Regional selling locations was included in an overall allocation of Regional selling location costs to the segments; however, a certain portion of that expense was not specifically identified to a segment. That expense is captured in this Regional selling location line.</w:t>
      </w:r>
    </w:p>
    <w:p>
      <w:pPr>
        <w:spacing w:after="0" w:line="76" w:lineRule="exact"/>
        <w:rPr>
          <w:rFonts w:ascii="Arial" w:cs="Arial" w:eastAsia="Arial" w:hAnsi="Arial"/>
          <w:sz w:val="16"/>
          <w:szCs w:val="16"/>
          <w:color w:val="auto"/>
        </w:rPr>
      </w:pPr>
    </w:p>
    <w:p>
      <w:pPr>
        <w:ind w:left="320" w:hanging="312"/>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capital expenditures incurred by the Regional selling locations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left="1560" w:right="1640" w:hanging="1538"/>
        <w:spacing w:after="0" w:line="249" w:lineRule="auto"/>
        <w:tabs>
          <w:tab w:leader="none" w:pos="15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80"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i w:val="1"/>
          <w:iCs w:val="1"/>
          <w:color w:val="auto"/>
        </w:rPr>
        <w:t>The following discussion should be read in conjunction with the condensed consolidated financial statements, including the notes, included elsewhere in this report on Form 10-Q (this "Report").</w:t>
      </w:r>
    </w:p>
    <w:p>
      <w:pPr>
        <w:spacing w:after="0" w:line="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i w:val="1"/>
          <w:iCs w:val="1"/>
          <w:color w:val="auto"/>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“forecast,” “likely,” “believe,” “target,” “will,” “could,” “would,” “should,” "potential," "may" and similar expressions or their negative, may, but are not necessary to, identify forward-looking statements. By their nature, forward-looking statements address</w:t>
      </w:r>
    </w:p>
    <w:p>
      <w:pPr>
        <w:spacing w:after="0" w:line="2"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i w:val="1"/>
          <w:iCs w:val="1"/>
          <w:color w:val="auto"/>
        </w:rPr>
        <w:t>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 share growth.</w:t>
      </w:r>
    </w:p>
    <w:p>
      <w:pPr>
        <w:spacing w:after="0" w:line="209"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i w:val="1"/>
          <w:iCs w:val="1"/>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w:t>
      </w:r>
    </w:p>
    <w:p>
      <w:pPr>
        <w:ind w:right="220"/>
        <w:spacing w:after="0"/>
        <w:rPr>
          <w:sz w:val="20"/>
          <w:szCs w:val="20"/>
          <w:color w:val="auto"/>
        </w:rPr>
      </w:pPr>
      <w:r>
        <w:rPr>
          <w:rFonts w:ascii="Arial" w:cs="Arial" w:eastAsia="Arial" w:hAnsi="Arial"/>
          <w:sz w:val="17"/>
          <w:szCs w:val="17"/>
          <w:i w:val="1"/>
          <w:iCs w:val="1"/>
          <w:color w:val="auto"/>
        </w:rPr>
        <w:t>control. Additionally, many of these risks and uncertainties are, and may continue to be, amplified by impacts from the war between Russia and Ukraine, as well as the ongoing coronavirus (“COVID-19”) pandemic and related macroeconomic conditions (including inflation).</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7"/>
          <w:szCs w:val="17"/>
          <w:i w:val="1"/>
          <w:iCs w:val="1"/>
          <w:color w:val="auto"/>
        </w:rPr>
        <w:t>Important factors that could cause our actual results, performance and achievements, or industry results to differ materially from estimates or projections contained in or implied by our forward -looking statements include, among others, the following: the impact of overall industry and general economic conditions, including industrial, governmental, and public and private sector spending and the strength of the residential and commercial real estate markets, on economic activity and our operations; geopolitical events, including the war between Russia and Ukraine, and regulatory, economic and other risks associated with our global sales and operations, including with respect to domestic content requirements applicable to projects with governmental funding; continued uncertainty around the ongoing COVID-19 pandemic’s magnitude, duration and impacts on our business, operations, growth, and financial condition; actual or potential other epidemics, pandemics or global health crises; availability, shortage or delays in receiving electronic components (in particular, semiconductors), parts, and raw materials from our supply chain; manufacturing and operating cost increases due to macroeconomic conditions, including inflation, supply chain shortages, logistics challenges, tight labor markets, prevailing price changes, tariffs and other factors; demand for our products; disruption, competition or pricing pressures in the markets we serve; cybersecurity incidents or other disruptions of information technology systems on which we rely,</w:t>
      </w:r>
    </w:p>
    <w:p>
      <w:pPr>
        <w:spacing w:after="0" w:line="6"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i w:val="1"/>
          <w:iCs w:val="1"/>
          <w:color w:val="auto"/>
        </w:rPr>
        <w:t>or involving our products; disruptions in operations at our facilities or that of third parties upon which we rely; ability to retain and attract senior management and other diverse and key talent, as well as competition for overall talent and labor; difficulty predicting our financial</w:t>
      </w:r>
    </w:p>
    <w:p>
      <w:pPr>
        <w:spacing w:after="0" w:line="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i w:val="1"/>
          <w:iCs w:val="1"/>
          <w:color w:val="auto"/>
        </w:rPr>
        <w:t>results; defects, security, warranty and liability claims, and recalls with respect to products; availability, regulation or interference with radio spectrum used by certain of our products; uncertainty related to restructuring and realignment actions and related charges and savings; our ability to continue strategic investments for growth; our ability to successfully identify, execute and integrate acquisitions; volatility in served markets or impacts on business and operations due to weather conditions, including the effects of climate change; fluctuations in foreign currency exchange rates; our ability to borrow or refinance our existing indebtedness and uncertainty around the availability of liquidity sufficient to meet our needs; risk of future impairments to goodwill and other intangible assets; failure to comply with, or changes in, laws or regulations, including those pertaining to anti-corruption, data privacy and security, export and import, competition, and the environment and climate change; changes in our effective tax rates or tax expenses; legal, governmental or regulatory claims, investigations or proceedings and associated contingent liabilities; and other factors set forth under “Item 1A. Risk Factors” in our Annual Report on Form 10-K for the year ended December 31, 2021 ("2021 Annual Report") and in subsequent filings we make with the Securities and Exchange Commission (“SEC”).</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Forward-looking and other statements in this Report regarding our environmental and other sustainability plans and goals are not an indication that these statements are necessarily material to investors or are required to be disclosed in our filings with the SEC. In addition, historical, current, and forward-looking social, environmental and sustainability related statements may be based on standards for measuring progress that are still developing, internal controls and processes that continue to evolve, and assumptions that are subject to change in the future. 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three reportable segments that are aligned around the critical market applications they provide: Water Infrastructure, Applied Water and Measurement &amp; Control Solutions.</w:t>
      </w:r>
    </w:p>
    <w:p>
      <w:pPr>
        <w:spacing w:after="0" w:line="74" w:lineRule="exact"/>
        <w:rPr>
          <w:sz w:val="20"/>
          <w:szCs w:val="20"/>
          <w:color w:val="auto"/>
        </w:rPr>
      </w:pPr>
    </w:p>
    <w:p>
      <w:pPr>
        <w:ind w:left="660" w:right="40" w:hanging="328"/>
        <w:spacing w:after="0" w:line="25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Water Infrastructure </w:t>
      </w:r>
      <w:r>
        <w:rPr>
          <w:rFonts w:ascii="Arial" w:cs="Arial" w:eastAsia="Arial" w:hAnsi="Arial"/>
          <w:sz w:val="18"/>
          <w:szCs w:val="18"/>
          <w:color w:val="auto"/>
        </w:rPr>
        <w:t>serves the water infrastructure sector with pump systems that transport water from aquifers, lakes, rivers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We also provide sales and rental of specialty dewatering pumps and related equipment and services.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In the Water Infrastructure segment, we provide the majority of our sales directly to customers along with strong applications expertise, while the remaining amount is through distribution partners.</w:t>
      </w:r>
    </w:p>
    <w:p>
      <w:pPr>
        <w:spacing w:after="0" w:line="76" w:lineRule="exact"/>
        <w:rPr>
          <w:rFonts w:ascii="Arial" w:cs="Arial" w:eastAsia="Arial" w:hAnsi="Arial"/>
          <w:sz w:val="18"/>
          <w:szCs w:val="18"/>
          <w:color w:val="auto"/>
        </w:rPr>
      </w:pPr>
    </w:p>
    <w:p>
      <w:pPr>
        <w:ind w:left="660" w:right="20" w:hanging="328"/>
        <w:spacing w:after="0" w:line="25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services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74"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Measurement &amp; Control Solutions </w:t>
      </w:r>
      <w:r>
        <w:rPr>
          <w:rFonts w:ascii="Arial" w:cs="Arial" w:eastAsia="Arial" w:hAnsi="Arial"/>
          <w:sz w:val="18"/>
          <w:szCs w:val="18"/>
          <w:color w:val="auto"/>
        </w:rPr>
        <w:t>primarily serves the utility infrastructure solutions and services sector by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smart metering, measurement and control technologies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surface water and coastal environments. Additionally, we offer software and services including cloud-based analytics, remote monitoring and data management, leak detection, condition assessment, asset management and pressure monitoring solutions. In the Measurement &amp;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Update and Related Macroeconomic Impacts</w:t>
      </w:r>
    </w:p>
    <w:p>
      <w:pPr>
        <w:spacing w:after="0" w:line="104"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Given the magnitude and duration of the COVID-19 pandemic and its prolonged economic consequences, it has become more difficult to distinguish specific aspects of our operational and financial performance that are most directly related to the pandemic from those more</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broadly influenced by ongoing macroeconomic, market and industry dynamics that may be, to varying degrees, related to the pandemic and its consequences.</w:t>
      </w:r>
    </w:p>
    <w:p>
      <w:pPr>
        <w:spacing w:after="0" w:line="19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Our markets and operations have largely demonstrated resilience against the effects of the pandemic. However, we have experienced, and may continue to experience, shortages in the supply of components, including electronics, particularly semiconductors ("chips"), parts and raw materials. For example, China has adopted and continues to rely upon a “zero-COVID” policy pursuant to which it has declared a number of total and partial lockdowns in cities throughout China that has, and may continue to adversely affect the global supply chain. As a result of these measures, our production facilities located in China have experienced, and may continue to experience in the future, reduced production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right="60"/>
        <w:spacing w:after="0" w:line="261" w:lineRule="auto"/>
        <w:rPr>
          <w:sz w:val="20"/>
          <w:szCs w:val="20"/>
          <w:color w:val="auto"/>
        </w:rPr>
      </w:pPr>
      <w:r>
        <w:rPr>
          <w:rFonts w:ascii="Arial" w:cs="Arial" w:eastAsia="Arial" w:hAnsi="Arial"/>
          <w:sz w:val="18"/>
          <w:szCs w:val="18"/>
          <w:color w:val="auto"/>
        </w:rPr>
        <w:t>To counteract the ongoing impacts on our supply chain, we are taking various actions, including building inventory to support backlog execution, qualifying alternative supply chains and redesigning our products. We expect chip supply to modestly improve in each successive quarter in 2022.</w:t>
      </w:r>
    </w:p>
    <w:p>
      <w:pPr>
        <w:spacing w:after="0" w:line="18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have also experienced, and continue to experience, increased inflation, freight and logistics costs, and are engaging in various mitigation strategies, including enhanced price realization efforts.</w:t>
      </w:r>
    </w:p>
    <w:p>
      <w:pPr>
        <w:spacing w:after="0" w:line="18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continue to assess the evolving nature of the pandemic and related macroeconomic impacts on our business, employees, supply chain, customers and communities, and take appropriate actions in an effort to mitigate adverse consequences.</w:t>
      </w:r>
    </w:p>
    <w:p>
      <w:pPr>
        <w:spacing w:after="0" w:line="17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Risk related to the pandemic, supply chain and macroeconomic issues, including inflation, are described in further detail under "Item 1A. Risk Factors" in the Company's 2021 Annual Report.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04"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Xylem reported revenue for the second quarter of 2022 of $1,364 million, an increase of 1.0% compared to $1,351 million reported in the second quarter of 2021. On a constant currency basis, revenue increased by $73 million, or 5.4%, driven by organic revenue growth in the</w:t>
      </w:r>
    </w:p>
    <w:p>
      <w:pPr>
        <w:ind w:right="360"/>
        <w:spacing w:after="0" w:line="263" w:lineRule="auto"/>
        <w:rPr>
          <w:sz w:val="20"/>
          <w:szCs w:val="20"/>
          <w:color w:val="auto"/>
        </w:rPr>
      </w:pPr>
      <w:r>
        <w:rPr>
          <w:rFonts w:ascii="Arial" w:cs="Arial" w:eastAsia="Arial" w:hAnsi="Arial"/>
          <w:sz w:val="17"/>
          <w:szCs w:val="17"/>
          <w:color w:val="auto"/>
        </w:rPr>
        <w:t>Applied Water and Water Infrastructure segments, partially offset by organic declines in Measurement &amp; Control Solutions. These results were driven by organic growth in the industrial, residential and utilities end markets, partially offset by organic declines in commercial.</w:t>
      </w:r>
    </w:p>
    <w:p>
      <w:pPr>
        <w:spacing w:after="0" w:line="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generated operating income of $ 146 million (margin of 10.7%) during the second quarter of 2022, as compared to $160 million (margin of 11.8%) in 2021. Operating income in the second quarter of 2022 included an unfavorable impact from increased restructuring and realignment costs of $2 million as compared to the second quarter of 2021, as well as an increase in special charges of $1 million. Excluding the impact of these items, adjusted operating income was $155 million (adjusted margin of 11.4%) during the second quarter of 2022 as compared to $166 million (adjusted margin of 12.3%) in 2021. The decrease in adjusted operating margin was primarily due to cost inflation, increased spending on strategic investments and some unfavorable mix. These impacts were partially offset by strong price realization and productivity savings.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the quarter ended June 30, 2022 include the following:</w:t>
      </w:r>
    </w:p>
    <w:p>
      <w:pPr>
        <w:spacing w:after="0" w:line="117"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Orders of $1,684 million, up 1.4% from $1,660 million in the prior year, and up 5.8% on an organic basis.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Earnings per share of $0.62, flat compared to prior year ($0.66, flat versus prior year, on an adjusted basis).</w:t>
      </w:r>
    </w:p>
    <w:p>
      <w:pPr>
        <w:spacing w:after="0" w:line="117" w:lineRule="exact"/>
        <w:rPr>
          <w:rFonts w:ascii="Arial" w:cs="Arial" w:eastAsia="Arial" w:hAnsi="Arial"/>
          <w:sz w:val="18"/>
          <w:szCs w:val="18"/>
          <w:color w:val="auto"/>
        </w:rPr>
      </w:pPr>
    </w:p>
    <w:p>
      <w:pPr>
        <w:ind w:left="340" w:right="160" w:hanging="332"/>
        <w:spacing w:after="0" w:line="28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income as a percent of revenue of 8.2%, down 20 basis points compared to 8.4% in the prior year. EBITDA margin of 15.1%, down 110 basis points when compared to 16.2% in the prior year (16.6% on an adjusted basis, down 70 basis points)</w:t>
      </w:r>
    </w:p>
    <w:p>
      <w:pPr>
        <w:spacing w:after="0" w:line="44" w:lineRule="exact"/>
        <w:rPr>
          <w:rFonts w:ascii="Arial" w:cs="Arial" w:eastAsia="Arial" w:hAnsi="Arial"/>
          <w:sz w:val="18"/>
          <w:szCs w:val="18"/>
          <w:color w:val="auto"/>
        </w:rPr>
      </w:pPr>
    </w:p>
    <w:p>
      <w:pPr>
        <w:ind w:left="340" w:right="280" w:hanging="332"/>
        <w:spacing w:after="0" w:line="287"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cash flow used in operating activities of $32 million for the six months ended June 30, 2022, a decrease of $174 million during the same period of the prior year. Negative free cash flow of $63 million, down $189 million from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and operating income margins, free cash flow,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non-GAAP measures to be key performance indicators, as well as the related reconciling items to the most directly comparable measure calculated and presented in accordance with GAAP. The non-GAAP measures may not be comparable to similarly-titled measures reported by other companies.</w:t>
      </w:r>
    </w:p>
    <w:p>
      <w:pPr>
        <w:spacing w:after="0" w:line="79" w:lineRule="exact"/>
        <w:rPr>
          <w:sz w:val="20"/>
          <w:szCs w:val="20"/>
          <w:color w:val="auto"/>
        </w:rPr>
      </w:pPr>
    </w:p>
    <w:p>
      <w:pPr>
        <w:ind w:left="660" w:right="2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71" w:lineRule="exact"/>
        <w:rPr>
          <w:rFonts w:ascii="Arial" w:cs="Arial" w:eastAsia="Arial" w:hAnsi="Arial"/>
          <w:sz w:val="18"/>
          <w:szCs w:val="18"/>
          <w:color w:val="auto"/>
        </w:rPr>
      </w:pPr>
    </w:p>
    <w:p>
      <w:pPr>
        <w:ind w:left="660" w:right="28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and earnings per share, respectively, adjusted to exclude restructuring and realignment costs, special charges, gain or loss from sale of businesses and tax-related special items, as applicable. A reconciliation of adjusted net income and adjusted earnings per share is provided below.</w:t>
      </w:r>
    </w:p>
    <w:p>
      <w:pPr>
        <w:spacing w:after="0" w:line="5"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for per share data)</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2021</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2021</w:t>
            </w: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 &amp; Earnings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0.62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center"/>
              <w:ind w:left="35"/>
              <w:spacing w:after="0"/>
              <w:rPr>
                <w:sz w:val="20"/>
                <w:szCs w:val="20"/>
                <w:color w:val="auto"/>
              </w:rPr>
            </w:pPr>
            <w:r>
              <w:rPr>
                <w:rFonts w:ascii="Arial" w:cs="Arial" w:eastAsia="Arial" w:hAnsi="Arial"/>
                <w:sz w:val="18"/>
                <w:szCs w:val="18"/>
                <w:b w:val="1"/>
                <w:bCs w:val="1"/>
                <w:color w:val="auto"/>
                <w:w w:val="96"/>
              </w:rPr>
              <w:t>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75"/>
        </w:trPr>
        <w:tc>
          <w:tcPr>
            <w:tcW w:w="4040" w:type="dxa"/>
            <w:vAlign w:val="bottom"/>
          </w:tcPr>
          <w:p>
            <w:pPr>
              <w:ind w:left="140"/>
              <w:spacing w:after="0" w:line="176" w:lineRule="exact"/>
              <w:rPr>
                <w:sz w:val="20"/>
                <w:szCs w:val="20"/>
                <w:color w:val="auto"/>
              </w:rPr>
            </w:pPr>
            <w:r>
              <w:rPr>
                <w:rFonts w:ascii="Arial" w:cs="Arial" w:eastAsia="Arial" w:hAnsi="Arial"/>
                <w:sz w:val="18"/>
                <w:szCs w:val="18"/>
                <w:color w:val="auto"/>
              </w:rPr>
              <w:t>Restructuring and realignment, net of tax of $2</w:t>
            </w:r>
          </w:p>
        </w:tc>
        <w:tc>
          <w:tcPr>
            <w:tcW w:w="2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96"/>
              </w:rPr>
              <w:t>0.06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43"/>
        </w:trPr>
        <w:tc>
          <w:tcPr>
            <w:tcW w:w="4040" w:type="dxa"/>
            <w:vAlign w:val="bottom"/>
          </w:tcPr>
          <w:p>
            <w:pPr>
              <w:ind w:left="140"/>
              <w:spacing w:after="0"/>
              <w:rPr>
                <w:sz w:val="20"/>
                <w:szCs w:val="20"/>
                <w:color w:val="auto"/>
              </w:rPr>
            </w:pPr>
            <w:r>
              <w:rPr>
                <w:rFonts w:ascii="Arial" w:cs="Arial" w:eastAsia="Arial" w:hAnsi="Arial"/>
                <w:sz w:val="18"/>
                <w:szCs w:val="18"/>
                <w:color w:val="auto"/>
              </w:rPr>
              <w:t>and $3 for 2022 and $1 and $3 for 2021</w:t>
            </w:r>
          </w:p>
        </w:tc>
        <w:tc>
          <w:tcPr>
            <w:tcW w:w="220" w:type="dxa"/>
            <w:vAlign w:val="bottom"/>
          </w:tcPr>
          <w:p>
            <w:pPr>
              <w:spacing w:after="0"/>
              <w:rPr>
                <w:sz w:val="21"/>
                <w:szCs w:val="21"/>
                <w:color w:val="auto"/>
              </w:rPr>
            </w:pPr>
          </w:p>
        </w:tc>
        <w:tc>
          <w:tcPr>
            <w:tcW w:w="5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Special charges, net of tax of $0 and $1 for</w:t>
            </w:r>
          </w:p>
        </w:tc>
        <w:tc>
          <w:tcPr>
            <w:tcW w:w="2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center"/>
              <w:ind w:left="35"/>
              <w:spacing w:after="0"/>
              <w:rPr>
                <w:sz w:val="20"/>
                <w:szCs w:val="20"/>
                <w:color w:val="auto"/>
              </w:rPr>
            </w:pPr>
            <w:r>
              <w:rPr>
                <w:rFonts w:ascii="Arial" w:cs="Arial" w:eastAsia="Arial" w:hAnsi="Arial"/>
                <w:sz w:val="18"/>
                <w:szCs w:val="18"/>
                <w:b w:val="1"/>
                <w:bCs w:val="1"/>
                <w:color w:val="auto"/>
                <w:w w:val="96"/>
              </w:rPr>
              <w:t>0.02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 and $1 and $1 for 2021</w:t>
            </w:r>
          </w:p>
        </w:tc>
        <w:tc>
          <w:tcPr>
            <w:tcW w:w="220" w:type="dxa"/>
            <w:vAlign w:val="bottom"/>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140"/>
              <w:spacing w:after="0"/>
              <w:rPr>
                <w:sz w:val="20"/>
                <w:szCs w:val="20"/>
                <w:color w:val="auto"/>
              </w:rPr>
            </w:pPr>
            <w:r>
              <w:rPr>
                <w:rFonts w:ascii="Arial" w:cs="Arial" w:eastAsia="Arial" w:hAnsi="Arial"/>
                <w:sz w:val="18"/>
                <w:szCs w:val="18"/>
                <w:color w:val="auto"/>
              </w:rPr>
              <w:t>Tax-related special items</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(0.01)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ind w:left="15"/>
              <w:spacing w:after="0"/>
              <w:rPr>
                <w:sz w:val="20"/>
                <w:szCs w:val="20"/>
                <w:color w:val="auto"/>
              </w:rPr>
            </w:pPr>
            <w:r>
              <w:rPr>
                <w:rFonts w:ascii="Arial" w:cs="Arial" w:eastAsia="Arial" w:hAnsi="Arial"/>
                <w:sz w:val="18"/>
                <w:szCs w:val="18"/>
                <w:b w:val="1"/>
                <w:bCs w:val="1"/>
                <w:color w:val="auto"/>
              </w:rPr>
              <w:t>(0.01)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76"/>
        </w:trPr>
        <w:tc>
          <w:tcPr>
            <w:tcW w:w="40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Gain from sale of business, net of tax of $0 for</w:t>
            </w:r>
          </w:p>
        </w:tc>
        <w:tc>
          <w:tcPr>
            <w:tcW w:w="22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(0.01)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center"/>
              <w:ind w:left="15"/>
              <w:spacing w:after="0"/>
              <w:rPr>
                <w:sz w:val="20"/>
                <w:szCs w:val="20"/>
                <w:color w:val="auto"/>
              </w:rPr>
            </w:pPr>
            <w:r>
              <w:rPr>
                <w:rFonts w:ascii="Arial" w:cs="Arial" w:eastAsia="Arial" w:hAnsi="Arial"/>
                <w:sz w:val="18"/>
                <w:szCs w:val="18"/>
                <w:b w:val="1"/>
                <w:bCs w:val="1"/>
                <w:color w:val="auto"/>
              </w:rPr>
              <w:t>(0.01)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21"/>
                <w:szCs w:val="21"/>
                <w:color w:val="auto"/>
              </w:rPr>
            </w:pPr>
          </w:p>
        </w:tc>
        <w:tc>
          <w:tcPr>
            <w:tcW w:w="6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040" w:type="dxa"/>
            <w:vAlign w:val="bottom"/>
          </w:tcPr>
          <w:p>
            <w:pPr>
              <w:ind w:left="140"/>
              <w:spacing w:after="0" w:line="156" w:lineRule="exact"/>
              <w:rPr>
                <w:sz w:val="20"/>
                <w:szCs w:val="20"/>
                <w:color w:val="auto"/>
              </w:rPr>
            </w:pPr>
            <w:r>
              <w:rPr>
                <w:rFonts w:ascii="Arial" w:cs="Arial" w:eastAsia="Arial" w:hAnsi="Arial"/>
                <w:sz w:val="18"/>
                <w:szCs w:val="18"/>
                <w:b w:val="1"/>
                <w:bCs w:val="1"/>
                <w:color w:val="auto"/>
              </w:rPr>
              <w:t>Adjusted net income &amp; Adjusted earnings</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0.66</w:t>
            </w:r>
          </w:p>
        </w:tc>
        <w:tc>
          <w:tcPr>
            <w:tcW w:w="10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rPr>
              <w:t>0.66</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204</w:t>
            </w:r>
          </w:p>
        </w:tc>
        <w:tc>
          <w:tcPr>
            <w:tcW w:w="10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vMerge w:val="restart"/>
          </w:tcPr>
          <w:p>
            <w:pPr>
              <w:jc w:val="center"/>
              <w:ind w:left="35"/>
              <w:spacing w:after="0"/>
              <w:rPr>
                <w:sz w:val="20"/>
                <w:szCs w:val="20"/>
                <w:color w:val="auto"/>
              </w:rPr>
            </w:pPr>
            <w:r>
              <w:rPr>
                <w:rFonts w:ascii="Arial" w:cs="Arial" w:eastAsia="Arial" w:hAnsi="Arial"/>
                <w:sz w:val="18"/>
                <w:szCs w:val="18"/>
                <w:b w:val="1"/>
                <w:bCs w:val="1"/>
                <w:color w:val="auto"/>
                <w:w w:val="96"/>
              </w:rPr>
              <w:t>1.13</w:t>
            </w:r>
          </w:p>
        </w:tc>
        <w:tc>
          <w:tcPr>
            <w:tcW w:w="10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1"/>
        </w:trPr>
        <w:tc>
          <w:tcPr>
            <w:tcW w:w="4040" w:type="dxa"/>
            <w:vAlign w:val="bottom"/>
          </w:tcPr>
          <w:p>
            <w:pPr>
              <w:ind w:left="140"/>
              <w:spacing w:after="0"/>
              <w:rPr>
                <w:sz w:val="20"/>
                <w:szCs w:val="20"/>
                <w:color w:val="auto"/>
              </w:rPr>
            </w:pPr>
            <w:r>
              <w:rPr>
                <w:rFonts w:ascii="Arial" w:cs="Arial" w:eastAsia="Arial" w:hAnsi="Arial"/>
                <w:sz w:val="18"/>
                <w:szCs w:val="18"/>
                <w:b w:val="1"/>
                <w:bCs w:val="1"/>
                <w:color w:val="auto"/>
              </w:rPr>
              <w:t>per share</w:t>
            </w:r>
          </w:p>
        </w:tc>
        <w:tc>
          <w:tcPr>
            <w:tcW w:w="22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660" w:right="20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operating expenses" and "adjusted gross profit" defined as operating expenses and gross profit, respectively, adjusted to exclude restructuring and realignment costs and special charges.</w:t>
      </w:r>
    </w:p>
    <w:p>
      <w:pPr>
        <w:spacing w:after="0" w:line="44"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and special charges, and "adjusted operating margin" defined as adjusted operating income divided by 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left="328" w:right="220" w:hanging="328"/>
        <w:spacing w:after="0" w:line="262" w:lineRule="auto"/>
        <w:tabs>
          <w:tab w:leader="none" w:pos="3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"EBITDA margin" defined as EBITDA divided by total revenue, "adjusted EBITDA" reflects the adjustment to EBITDA to exclude share-based compensation charges, restructuring and realignment costs, special charges and gain or loss from sale of businesses, and "adjusted EBITDA margin" defined as adjusted EBITDA divided by total revenue.</w:t>
      </w:r>
    </w:p>
    <w:p>
      <w:pPr>
        <w:spacing w:after="0" w:line="68" w:lineRule="exact"/>
        <w:rPr>
          <w:rFonts w:ascii="Arial" w:cs="Arial" w:eastAsia="Arial" w:hAnsi="Arial"/>
          <w:sz w:val="18"/>
          <w:szCs w:val="18"/>
          <w:color w:val="auto"/>
        </w:rPr>
      </w:pPr>
    </w:p>
    <w:p>
      <w:pPr>
        <w:ind w:left="328" w:right="320" w:hanging="328"/>
        <w:spacing w:after="0" w:line="287" w:lineRule="auto"/>
        <w:tabs>
          <w:tab w:leader="none" w:pos="3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31" w:lineRule="exact"/>
        <w:rPr>
          <w:rFonts w:ascii="Arial" w:cs="Arial" w:eastAsia="Arial" w:hAnsi="Arial"/>
          <w:sz w:val="18"/>
          <w:szCs w:val="18"/>
          <w:color w:val="auto"/>
        </w:rPr>
      </w:pPr>
    </w:p>
    <w:p>
      <w:pPr>
        <w:ind w:left="328" w:right="80" w:hanging="328"/>
        <w:spacing w:after="0" w:line="256" w:lineRule="auto"/>
        <w:tabs>
          <w:tab w:leader="none" w:pos="317" w:val="left"/>
        </w:tabs>
        <w:numPr>
          <w:ilvl w:val="0"/>
          <w:numId w:val="13"/>
        </w:numPr>
        <w:rPr>
          <w:rFonts w:ascii="Arial" w:cs="Arial" w:eastAsia="Arial" w:hAnsi="Arial"/>
          <w:sz w:val="16"/>
          <w:szCs w:val="16"/>
          <w:color w:val="auto"/>
        </w:rPr>
      </w:pPr>
      <w:r>
        <w:rPr>
          <w:rFonts w:ascii="Arial" w:cs="Arial" w:eastAsia="Arial" w:hAnsi="Arial"/>
          <w:sz w:val="18"/>
          <w:szCs w:val="18"/>
          <w:color w:val="auto"/>
        </w:rPr>
        <w:t>“special charges" defined as costs incurred by the Company, such as acquisition and integration related costs, non-cash impairment charges and both operating and non-operating adjustments for costs related to the UK pension plan buy-out.</w:t>
      </w:r>
    </w:p>
    <w:p>
      <w:pPr>
        <w:spacing w:after="0" w:line="71" w:lineRule="exact"/>
        <w:rPr>
          <w:rFonts w:ascii="Arial" w:cs="Arial" w:eastAsia="Arial" w:hAnsi="Arial"/>
          <w:sz w:val="16"/>
          <w:szCs w:val="16"/>
          <w:color w:val="auto"/>
        </w:rPr>
      </w:pPr>
    </w:p>
    <w:p>
      <w:pPr>
        <w:ind w:left="328" w:right="480" w:hanging="328"/>
        <w:spacing w:after="0" w:line="287" w:lineRule="auto"/>
        <w:tabs>
          <w:tab w:leader="none" w:pos="32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58" w:lineRule="exact"/>
        <w:rPr>
          <w:rFonts w:ascii="Arial" w:cs="Arial" w:eastAsia="Arial" w:hAnsi="Arial"/>
          <w:sz w:val="18"/>
          <w:szCs w:val="18"/>
          <w:color w:val="auto"/>
        </w:rPr>
      </w:pPr>
    </w:p>
    <w:p>
      <w:pPr>
        <w:ind w:left="328" w:hanging="328"/>
        <w:spacing w:after="0" w:line="254" w:lineRule="auto"/>
        <w:tabs>
          <w:tab w:leader="none" w:pos="316" w:val="left"/>
        </w:tabs>
        <w:numPr>
          <w:ilvl w:val="0"/>
          <w:numId w:val="13"/>
        </w:numPr>
        <w:rPr>
          <w:rFonts w:ascii="Arial" w:cs="Arial" w:eastAsia="Arial" w:hAnsi="Arial"/>
          <w:sz w:val="20"/>
          <w:szCs w:val="20"/>
          <w:color w:val="auto"/>
        </w:rPr>
      </w:pPr>
      <w:r>
        <w:rPr>
          <w:rFonts w:ascii="Arial" w:cs="Arial" w:eastAsia="Arial" w:hAnsi="Arial"/>
          <w:sz w:val="18"/>
          <w:szCs w:val="18"/>
          <w:color w:val="auto"/>
        </w:rPr>
        <w:t>"free cash flow" defined as net cash from operating activities, as reported in the Condensed Consolidated Statement of Cash Flows, less capital expenditures. Our definition of "free cash flow" does not consider certain non-discretionary cash payments, such as debt. The following table provides a reconciliation of free cash flow.</w:t>
      </w:r>
    </w:p>
    <w:p>
      <w:pPr>
        <w:spacing w:after="0" w:line="125" w:lineRule="exact"/>
        <w:rPr>
          <w:sz w:val="20"/>
          <w:szCs w:val="20"/>
          <w:color w:val="auto"/>
        </w:rPr>
      </w:pPr>
    </w:p>
    <w:tbl>
      <w:tblPr>
        <w:tblLayout w:type="fixed"/>
        <w:tblInd w:w="248"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Capital expenditures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Free cash flow</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vMerge w:val="continue"/>
          </w:tcPr>
          <w:p>
            <w:pPr>
              <w:spacing w:after="0"/>
              <w:rPr>
                <w:sz w:val="17"/>
                <w:szCs w:val="17"/>
                <w:color w:val="auto"/>
              </w:rPr>
            </w:pPr>
          </w:p>
        </w:tc>
        <w:tc>
          <w:tcPr>
            <w:tcW w:w="400" w:type="dxa"/>
            <w:vAlign w:val="bottom"/>
          </w:tcPr>
          <w:p>
            <w:pPr>
              <w:jc w:val="right"/>
              <w:ind w:right="190"/>
              <w:spacing w:after="0" w:line="203" w:lineRule="exact"/>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17"/>
                <w:szCs w:val="17"/>
                <w:color w:val="auto"/>
              </w:rPr>
            </w:pPr>
          </w:p>
        </w:tc>
        <w:tc>
          <w:tcPr>
            <w:tcW w:w="620" w:type="dxa"/>
            <w:vAlign w:val="bottom"/>
          </w:tcPr>
          <w:p>
            <w:pPr>
              <w:jc w:val="right"/>
              <w:ind w:right="4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in financing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72"/>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1093"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2022 Outlook</w:t>
      </w:r>
    </w:p>
    <w:p>
      <w:pPr>
        <w:spacing w:after="0" w:line="2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are updating our total revenue growth to be in the range of 3% to 5% in 2022, with organic revenue growth anticipated to be in the range of 8% to 10%. The following is a summary of our organic revenue outlook by end markets:</w:t>
      </w:r>
    </w:p>
    <w:p>
      <w:pPr>
        <w:spacing w:after="0" w:line="193" w:lineRule="exact"/>
        <w:rPr>
          <w:sz w:val="20"/>
          <w:szCs w:val="20"/>
          <w:color w:val="auto"/>
        </w:rPr>
      </w:pPr>
    </w:p>
    <w:p>
      <w:pPr>
        <w:ind w:left="660" w:hanging="328"/>
        <w:spacing w:after="0" w:line="22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Utilities revenue was flat through the first half of the year on an organic basis driven by strength in western Europe and tempered growth in North America offset by weakness in the emerging markets. For 2022, we expect organic revenue growth in the mid-single-digit range, as utilities remain focused on mission-critical applications in wastewater and operational activity and demand continues to be healthy and resilient. We expect uneven growth from China and India as multi-year government funding programs are deployed. On the clean water side, the timing of large project deployments has been impacted by the global shortage of electronic components. We anticipate that with modest easing of chip shortages, these deployments will ramp up based on our strong backlog position and orders momentum. Additionally, we can expect continued momentum in the global test and treatment markets and rising demand, and focus on pipeline assessment services.</w:t>
      </w:r>
    </w:p>
    <w:p>
      <w:pPr>
        <w:spacing w:after="0" w:line="87"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Industrial revenue increased by approximately 11% through the first half of the year on an organic basis driven by strength across all major geographic regions. For 2022, we expect organic revenue growth in the high-single-digit to low-double-digit range based on steady global demand. We continue to see robust growth in our dewatering business, especially in the emerging markets. In the U.S. and western Europe, we expect sustained demand in light industrial activity reflecting our strong orders and backlog, and considerable traction from new product introductions and large account activity in western Europe.</w:t>
      </w:r>
    </w:p>
    <w:p>
      <w:pPr>
        <w:spacing w:after="0" w:line="71" w:lineRule="exact"/>
        <w:rPr>
          <w:rFonts w:ascii="Arial" w:cs="Arial" w:eastAsia="Arial" w:hAnsi="Arial"/>
          <w:sz w:val="18"/>
          <w:szCs w:val="18"/>
          <w:color w:val="auto"/>
        </w:rPr>
      </w:pPr>
    </w:p>
    <w:p>
      <w:pPr>
        <w:ind w:left="660" w:right="180" w:hanging="328"/>
        <w:spacing w:after="0" w:line="26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commercial markets, organic revenue for the first half of the year increased by approximately 4% driven by western Europe and the U.S. For 2022, we expect organic revenue growth in the mid-single to high-single digit range. We expect solid replacement business and new product introductions in the U.S. and Europe. We also expect modest share gains, with demand for eco-friendly products supported by increase in funding for green buildings in Europe.</w:t>
      </w:r>
    </w:p>
    <w:p>
      <w:pPr>
        <w:spacing w:after="0" w:line="68"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residential markets, organic revenue increased by approximately 14% through the first half of the year driven by strength in the U.S. growth and western Europe, marginally offset by weakness in the emerging markets. This market is primarily driven by solid replacement revenue serviced through our distribution network. For 2022, we expect double-digit organic revenue growth. We anticipate activity to remain healthy from increased residential users in the U.S. and western Europe.</w:t>
      </w:r>
    </w:p>
    <w:p>
      <w:pPr>
        <w:spacing w:after="0" w:line="200" w:lineRule="exact"/>
        <w:rPr>
          <w:sz w:val="20"/>
          <w:szCs w:val="20"/>
          <w:color w:val="auto"/>
        </w:rPr>
      </w:pPr>
    </w:p>
    <w:p>
      <w:pPr>
        <w:spacing w:after="0" w:line="21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will continue to strategically execute restructuring and realignment actions in an effort to optimize our cost structure, improve our operational efficiency and effectiveness, strengthen our competitive positioning and better serve our customers. During 2022, we expect to incur approximately $20 million and $25 million in restructuring and realignment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Results of Operations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1,364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2,636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2,607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520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987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Gross margin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 bp</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38.7 %</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(130) bp</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374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730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bp</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9"/>
              </w:rPr>
              <w:t>bp</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Arial" w:cs="Arial" w:eastAsia="Arial" w:hAnsi="Arial"/>
                <w:sz w:val="18"/>
                <w:szCs w:val="18"/>
                <w:color w:val="auto"/>
              </w:rPr>
              <w:t>Restructuring and realignment costs</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33.3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charges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NM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Arial" w:cs="Arial" w:eastAsia="Arial" w:hAnsi="Arial"/>
                <w:sz w:val="18"/>
                <w:szCs w:val="18"/>
                <w:color w:val="auto"/>
              </w:rPr>
              <w:t>Adjusted operating expenses</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365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716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i w:val="1"/>
                <w:iCs w:val="1"/>
                <w:color w:val="auto"/>
              </w:rPr>
              <w:t>Adjusted operating expenses to</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26.8 %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26.2 %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5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w w:val="89"/>
              </w:rPr>
              <w:t>bp</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27.2 %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26.9 %</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4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89"/>
              </w:rPr>
              <w:t>bp</w:t>
            </w: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revenue ratio</w:t>
            </w:r>
          </w:p>
        </w:tc>
        <w:tc>
          <w:tcPr>
            <w:tcW w:w="2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520" w:type="dxa"/>
            <w:vAlign w:val="bottom"/>
            <w:gridSpan w:val="2"/>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146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257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Operating margin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(110) bp</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(150) bp</w:t>
            </w:r>
          </w:p>
        </w:tc>
        <w:tc>
          <w:tcPr>
            <w:tcW w:w="0" w:type="dxa"/>
            <w:vAlign w:val="bottom"/>
          </w:tcPr>
          <w:p>
            <w:pPr>
              <w:spacing w:after="0"/>
              <w:rPr>
                <w:sz w:val="1"/>
                <w:szCs w:val="1"/>
                <w:color w:val="auto"/>
              </w:rPr>
            </w:pPr>
          </w:p>
        </w:tc>
      </w:tr>
      <w:tr>
        <w:trPr>
          <w:trHeight w:val="176"/>
        </w:trPr>
        <w:tc>
          <w:tcPr>
            <w:tcW w:w="3100" w:type="dxa"/>
            <w:vAlign w:val="bottom"/>
          </w:tcPr>
          <w:p>
            <w:pPr>
              <w:ind w:left="140"/>
              <w:spacing w:after="0" w:line="176" w:lineRule="exact"/>
              <w:rPr>
                <w:sz w:val="20"/>
                <w:szCs w:val="20"/>
                <w:color w:val="auto"/>
              </w:rPr>
            </w:pPr>
            <w:r>
              <w:rPr>
                <w:rFonts w:ascii="Arial" w:cs="Arial" w:eastAsia="Arial" w:hAnsi="Arial"/>
                <w:sz w:val="18"/>
                <w:szCs w:val="18"/>
                <w:color w:val="auto"/>
              </w:rPr>
              <w:t>Interest and other non-operating</w:t>
            </w:r>
          </w:p>
        </w:tc>
        <w:tc>
          <w:tcPr>
            <w:tcW w:w="280" w:type="dxa"/>
            <w:vAlign w:val="bottom"/>
          </w:tcPr>
          <w:p>
            <w:pPr>
              <w:spacing w:after="0"/>
              <w:rPr>
                <w:sz w:val="15"/>
                <w:szCs w:val="15"/>
                <w:color w:val="auto"/>
              </w:rPr>
            </w:pPr>
          </w:p>
        </w:tc>
        <w:tc>
          <w:tcPr>
            <w:tcW w:w="94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(58.3)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(44.2) %</w:t>
            </w:r>
          </w:p>
        </w:tc>
        <w:tc>
          <w:tcPr>
            <w:tcW w:w="0" w:type="dxa"/>
            <w:vAlign w:val="bottom"/>
          </w:tcPr>
          <w:p>
            <w:pPr>
              <w:spacing w:after="0"/>
              <w:rPr>
                <w:sz w:val="1"/>
                <w:szCs w:val="1"/>
                <w:color w:val="auto"/>
              </w:rPr>
            </w:pPr>
          </w:p>
        </w:tc>
      </w:tr>
      <w:tr>
        <w:trPr>
          <w:trHeight w:val="243"/>
        </w:trPr>
        <w:tc>
          <w:tcPr>
            <w:tcW w:w="3100" w:type="dxa"/>
            <w:vAlign w:val="bottom"/>
          </w:tcPr>
          <w:p>
            <w:pPr>
              <w:ind w:left="140"/>
              <w:spacing w:after="0"/>
              <w:rPr>
                <w:sz w:val="20"/>
                <w:szCs w:val="20"/>
                <w:color w:val="auto"/>
              </w:rPr>
            </w:pPr>
            <w:r>
              <w:rPr>
                <w:rFonts w:ascii="Arial" w:cs="Arial" w:eastAsia="Arial" w:hAnsi="Arial"/>
                <w:sz w:val="18"/>
                <w:szCs w:val="18"/>
                <w:color w:val="auto"/>
              </w:rPr>
              <w:t>expense, net</w:t>
            </w: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from sale of business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Tax rate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 bp</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(370) bp</w:t>
            </w:r>
          </w:p>
        </w:tc>
        <w:tc>
          <w:tcPr>
            <w:tcW w:w="0" w:type="dxa"/>
            <w:vAlign w:val="bottom"/>
          </w:tcPr>
          <w:p>
            <w:pPr>
              <w:spacing w:after="0"/>
              <w:rPr>
                <w:sz w:val="1"/>
                <w:szCs w:val="1"/>
                <w:color w:val="auto"/>
              </w:rPr>
            </w:pPr>
          </w:p>
        </w:tc>
      </w:tr>
      <w:tr>
        <w:trPr>
          <w:trHeight w:val="247"/>
        </w:trPr>
        <w:tc>
          <w:tcPr>
            <w:tcW w:w="31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112</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194</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change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Revenue generated during the three and six months ended June 30, 2022 was $1,364 million and $2,636 million, reflecting increases of $13 million, or 1.0%, and $29 million, or 1.1%, respectively, compared to the same prior year periods. On a constant currency basis, revenue grew 5.4% and 4.7% for the three and six months ended June 30, 2022. The increases on a constant currency basis were driven by organic revenue growth of $76 million and $127 million respectively, reflecting strong organic growth in western Europe and the U.S. for both periods, as the emerging markets were flat for the quarter and a decline for the year-to-date, with the COVID lockdowns mandated by the government in China offsetting organic growth in other parts of the region.</w:t>
      </w:r>
    </w:p>
    <w:p>
      <w:pPr>
        <w:spacing w:after="0" w:line="74" w:lineRule="exact"/>
        <w:rPr>
          <w:sz w:val="20"/>
          <w:szCs w:val="20"/>
          <w:color w:val="auto"/>
        </w:rPr>
      </w:pPr>
    </w:p>
    <w:p>
      <w:pPr>
        <w:ind w:right="500"/>
        <w:spacing w:after="0" w:line="279" w:lineRule="auto"/>
        <w:rPr>
          <w:sz w:val="20"/>
          <w:szCs w:val="20"/>
          <w:color w:val="auto"/>
        </w:rPr>
      </w:pPr>
      <w:r>
        <w:rPr>
          <w:rFonts w:ascii="Arial" w:cs="Arial" w:eastAsia="Arial" w:hAnsi="Arial"/>
          <w:sz w:val="18"/>
          <w:szCs w:val="18"/>
          <w:color w:val="auto"/>
        </w:rPr>
        <w:t>The following table illustrates the impact from organic growth, recent divestitures, and foreign currency translation in relation to revenue during the three and six months ended June 30, 2022:</w:t>
      </w: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Water Infrastructure</w:t>
            </w:r>
          </w:p>
        </w:tc>
        <w:tc>
          <w:tcPr>
            <w:tcW w:w="260" w:type="dxa"/>
            <w:vAlign w:val="bottom"/>
          </w:tcPr>
          <w:p>
            <w:pPr>
              <w:spacing w:after="0"/>
              <w:rPr>
                <w:sz w:val="12"/>
                <w:szCs w:val="12"/>
                <w:color w:val="auto"/>
              </w:rPr>
            </w:pPr>
          </w:p>
        </w:tc>
        <w:tc>
          <w:tcPr>
            <w:tcW w:w="19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Applied Water</w:t>
            </w:r>
          </w:p>
        </w:tc>
        <w:tc>
          <w:tcPr>
            <w:tcW w:w="240" w:type="dxa"/>
            <w:vAlign w:val="bottom"/>
          </w:tcPr>
          <w:p>
            <w:pPr>
              <w:spacing w:after="0"/>
              <w:rPr>
                <w:sz w:val="12"/>
                <w:szCs w:val="12"/>
                <w:color w:val="auto"/>
              </w:rPr>
            </w:pPr>
          </w:p>
        </w:tc>
        <w:tc>
          <w:tcPr>
            <w:tcW w:w="198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Measurement &amp; Control</w:t>
            </w:r>
          </w:p>
        </w:tc>
        <w:tc>
          <w:tcPr>
            <w:tcW w:w="260" w:type="dxa"/>
            <w:vAlign w:val="bottom"/>
          </w:tcPr>
          <w:p>
            <w:pPr>
              <w:spacing w:after="0"/>
              <w:rPr>
                <w:sz w:val="12"/>
                <w:szCs w:val="12"/>
                <w:color w:val="auto"/>
              </w:rPr>
            </w:pPr>
          </w:p>
        </w:tc>
        <w:tc>
          <w:tcPr>
            <w:tcW w:w="1900" w:type="dxa"/>
            <w:vAlign w:val="bottom"/>
            <w:gridSpan w:val="2"/>
            <w:vMerge w:val="restart"/>
          </w:tcPr>
          <w:p>
            <w:pPr>
              <w:jc w:val="right"/>
              <w:ind w:right="593"/>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ind w:left="48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6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40"/>
              <w:spacing w:after="0"/>
              <w:rPr>
                <w:sz w:val="20"/>
                <w:szCs w:val="20"/>
                <w:color w:val="auto"/>
              </w:rPr>
            </w:pPr>
            <w:r>
              <w:rPr>
                <w:rFonts w:ascii="Arial" w:cs="Arial" w:eastAsia="Arial" w:hAnsi="Arial"/>
                <w:sz w:val="14"/>
                <w:szCs w:val="14"/>
                <w:color w:val="auto"/>
              </w:rPr>
              <w:t>% Change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5"/>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00" w:type="dxa"/>
            <w:vAlign w:val="bottom"/>
          </w:tcPr>
          <w:p>
            <w:pPr>
              <w:jc w:val="right"/>
              <w:ind w:right="17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30"/>
        </w:trPr>
        <w:tc>
          <w:tcPr>
            <w:tcW w:w="2420" w:type="dxa"/>
            <w:vAlign w:val="bottom"/>
          </w:tcPr>
          <w:p>
            <w:pPr>
              <w:ind w:left="140"/>
              <w:spacing w:after="0"/>
              <w:rPr>
                <w:sz w:val="20"/>
                <w:szCs w:val="20"/>
                <w:color w:val="auto"/>
              </w:rPr>
            </w:pPr>
            <w:r>
              <w:rPr>
                <w:rFonts w:ascii="Arial" w:cs="Arial" w:eastAsia="Arial" w:hAnsi="Arial"/>
                <w:sz w:val="18"/>
                <w:szCs w:val="18"/>
                <w:color w:val="auto"/>
              </w:rPr>
              <w:t>2021 Revenue</w:t>
            </w: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30"/>
        </w:trPr>
        <w:tc>
          <w:tcPr>
            <w:tcW w:w="2420" w:type="dxa"/>
            <w:vAlign w:val="bottom"/>
          </w:tcPr>
          <w:p>
            <w:pPr>
              <w:ind w:left="360"/>
              <w:spacing w:after="0"/>
              <w:rPr>
                <w:sz w:val="20"/>
                <w:szCs w:val="20"/>
                <w:color w:val="auto"/>
              </w:rPr>
            </w:pPr>
            <w:r>
              <w:rPr>
                <w:rFonts w:ascii="Arial" w:cs="Arial" w:eastAsia="Arial" w:hAnsi="Arial"/>
                <w:sz w:val="18"/>
                <w:szCs w:val="18"/>
                <w:color w:val="auto"/>
              </w:rPr>
              <w:t>Divestitures</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Constant Currency</w:t>
            </w: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175"/>
        </w:trPr>
        <w:tc>
          <w:tcPr>
            <w:tcW w:w="2420" w:type="dxa"/>
            <w:vAlign w:val="bottom"/>
          </w:tcPr>
          <w:p>
            <w:pPr>
              <w:ind w:left="360"/>
              <w:spacing w:after="0" w:line="176" w:lineRule="exact"/>
              <w:rPr>
                <w:sz w:val="20"/>
                <w:szCs w:val="20"/>
                <w:color w:val="auto"/>
              </w:rPr>
            </w:pPr>
            <w:r>
              <w:rPr>
                <w:rFonts w:ascii="Arial" w:cs="Arial" w:eastAsia="Arial" w:hAnsi="Arial"/>
                <w:sz w:val="18"/>
                <w:szCs w:val="18"/>
                <w:color w:val="auto"/>
              </w:rPr>
              <w:t>Foreign currency</w:t>
            </w:r>
          </w:p>
        </w:tc>
        <w:tc>
          <w:tcPr>
            <w:tcW w:w="2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translation (a)</w:t>
            </w: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change in revenue</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2420" w:type="dxa"/>
            <w:vAlign w:val="bottom"/>
          </w:tcPr>
          <w:p>
            <w:pPr>
              <w:ind w:left="140"/>
              <w:spacing w:after="0"/>
              <w:rPr>
                <w:sz w:val="20"/>
                <w:szCs w:val="20"/>
                <w:color w:val="auto"/>
              </w:rPr>
            </w:pPr>
            <w:r>
              <w:rPr>
                <w:rFonts w:ascii="Arial" w:cs="Arial" w:eastAsia="Arial" w:hAnsi="Arial"/>
                <w:sz w:val="18"/>
                <w:szCs w:val="18"/>
                <w:b w:val="1"/>
                <w:bCs w:val="1"/>
                <w:color w:val="auto"/>
              </w:rPr>
              <w:t>2022 Revenue</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1,364</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40" w:right="380" w:hanging="332"/>
        <w:spacing w:after="0" w:line="286"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weakening in value of various currencies against the U.S. Dollar, the largest being the Euro, the British Pound, the Swedish Krona and the Australian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Water Infrastructure</w:t>
            </w:r>
          </w:p>
        </w:tc>
        <w:tc>
          <w:tcPr>
            <w:tcW w:w="260" w:type="dxa"/>
            <w:vAlign w:val="bottom"/>
          </w:tcPr>
          <w:p>
            <w:pPr>
              <w:spacing w:after="0"/>
              <w:rPr>
                <w:sz w:val="14"/>
                <w:szCs w:val="14"/>
                <w:color w:val="auto"/>
              </w:rPr>
            </w:pPr>
          </w:p>
        </w:tc>
        <w:tc>
          <w:tcPr>
            <w:tcW w:w="19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Applied Water</w:t>
            </w:r>
          </w:p>
        </w:tc>
        <w:tc>
          <w:tcPr>
            <w:tcW w:w="240" w:type="dxa"/>
            <w:vAlign w:val="bottom"/>
          </w:tcPr>
          <w:p>
            <w:pPr>
              <w:spacing w:after="0"/>
              <w:rPr>
                <w:sz w:val="14"/>
                <w:szCs w:val="14"/>
                <w:color w:val="auto"/>
              </w:rPr>
            </w:pPr>
          </w:p>
        </w:tc>
        <w:tc>
          <w:tcPr>
            <w:tcW w:w="1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Measurement &amp; Control</w:t>
            </w:r>
          </w:p>
        </w:tc>
        <w:tc>
          <w:tcPr>
            <w:tcW w:w="260" w:type="dxa"/>
            <w:vAlign w:val="bottom"/>
          </w:tcPr>
          <w:p>
            <w:pPr>
              <w:spacing w:after="0"/>
              <w:rPr>
                <w:sz w:val="14"/>
                <w:szCs w:val="14"/>
                <w:color w:val="auto"/>
              </w:rPr>
            </w:pPr>
          </w:p>
        </w:tc>
        <w:tc>
          <w:tcPr>
            <w:tcW w:w="1900" w:type="dxa"/>
            <w:vAlign w:val="bottom"/>
            <w:gridSpan w:val="2"/>
            <w:vMerge w:val="restart"/>
          </w:tcPr>
          <w:p>
            <w:pPr>
              <w:jc w:val="right"/>
              <w:ind w:right="593"/>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ind w:left="48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6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80" w:type="dxa"/>
            <w:vAlign w:val="bottom"/>
            <w:gridSpan w:val="2"/>
          </w:tcPr>
          <w:p>
            <w:pPr>
              <w:ind w:left="240"/>
              <w:spacing w:after="0"/>
              <w:rPr>
                <w:sz w:val="20"/>
                <w:szCs w:val="20"/>
                <w:color w:val="auto"/>
              </w:rPr>
            </w:pPr>
            <w:r>
              <w:rPr>
                <w:rFonts w:ascii="Arial" w:cs="Arial" w:eastAsia="Arial" w:hAnsi="Arial"/>
                <w:sz w:val="14"/>
                <w:szCs w:val="14"/>
                <w:color w:val="auto"/>
              </w:rPr>
              <w:t>% Change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5"/>
              <w:spacing w:after="0"/>
              <w:rPr>
                <w:sz w:val="20"/>
                <w:szCs w:val="20"/>
                <w:color w:val="auto"/>
              </w:rPr>
            </w:pPr>
            <w:r>
              <w:rPr>
                <w:rFonts w:ascii="Arial" w:cs="Arial" w:eastAsia="Arial" w:hAnsi="Arial"/>
                <w:sz w:val="14"/>
                <w:szCs w:val="14"/>
                <w:color w:val="auto"/>
              </w:rPr>
              <w:t>Change</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4"/>
              <w:spacing w:after="0"/>
              <w:rPr>
                <w:sz w:val="20"/>
                <w:szCs w:val="20"/>
                <w:color w:val="auto"/>
              </w:rPr>
            </w:pPr>
            <w:r>
              <w:rPr>
                <w:rFonts w:ascii="Arial" w:cs="Arial" w:eastAsia="Arial" w:hAnsi="Arial"/>
                <w:sz w:val="14"/>
                <w:szCs w:val="14"/>
                <w:color w:val="auto"/>
              </w:rPr>
              <w:t>Change</w:t>
            </w:r>
          </w:p>
        </w:tc>
        <w:tc>
          <w:tcPr>
            <w:tcW w:w="1200" w:type="dxa"/>
            <w:vAlign w:val="bottom"/>
          </w:tcPr>
          <w:p>
            <w:pPr>
              <w:jc w:val="right"/>
              <w:ind w:right="17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9"/>
        </w:trPr>
        <w:tc>
          <w:tcPr>
            <w:tcW w:w="2420" w:type="dxa"/>
            <w:vAlign w:val="bottom"/>
          </w:tcPr>
          <w:p>
            <w:pPr>
              <w:ind w:left="140"/>
              <w:spacing w:after="0"/>
              <w:rPr>
                <w:sz w:val="20"/>
                <w:szCs w:val="20"/>
                <w:color w:val="auto"/>
              </w:rPr>
            </w:pPr>
            <w:r>
              <w:rPr>
                <w:rFonts w:ascii="Arial" w:cs="Arial" w:eastAsia="Arial" w:hAnsi="Arial"/>
                <w:sz w:val="18"/>
                <w:szCs w:val="18"/>
                <w:color w:val="auto"/>
              </w:rPr>
              <w:t>2021 Revenue</w:t>
            </w:r>
          </w:p>
        </w:tc>
        <w:tc>
          <w:tcPr>
            <w:tcW w:w="2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Organic Growth</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29"/>
        </w:trPr>
        <w:tc>
          <w:tcPr>
            <w:tcW w:w="2420" w:type="dxa"/>
            <w:vAlign w:val="bottom"/>
          </w:tcPr>
          <w:p>
            <w:pPr>
              <w:ind w:left="360"/>
              <w:spacing w:after="0"/>
              <w:rPr>
                <w:sz w:val="20"/>
                <w:szCs w:val="20"/>
                <w:color w:val="auto"/>
              </w:rPr>
            </w:pPr>
            <w:r>
              <w:rPr>
                <w:rFonts w:ascii="Arial" w:cs="Arial" w:eastAsia="Arial" w:hAnsi="Arial"/>
                <w:sz w:val="18"/>
                <w:szCs w:val="18"/>
                <w:color w:val="auto"/>
              </w:rPr>
              <w:t>Divestitures</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Constant Currency</w:t>
            </w: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176"/>
        </w:trPr>
        <w:tc>
          <w:tcPr>
            <w:tcW w:w="2420" w:type="dxa"/>
            <w:vAlign w:val="bottom"/>
          </w:tcPr>
          <w:p>
            <w:pPr>
              <w:ind w:left="360"/>
              <w:spacing w:after="0" w:line="176" w:lineRule="exact"/>
              <w:rPr>
                <w:sz w:val="20"/>
                <w:szCs w:val="20"/>
                <w:color w:val="auto"/>
              </w:rPr>
            </w:pPr>
            <w:r>
              <w:rPr>
                <w:rFonts w:ascii="Arial" w:cs="Arial" w:eastAsia="Arial" w:hAnsi="Arial"/>
                <w:sz w:val="18"/>
                <w:szCs w:val="18"/>
                <w:color w:val="auto"/>
              </w:rPr>
              <w:t>Foreign currency</w:t>
            </w:r>
          </w:p>
        </w:tc>
        <w:tc>
          <w:tcPr>
            <w:tcW w:w="2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translation (a)</w:t>
            </w: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change in revenue</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3"/>
        </w:trPr>
        <w:tc>
          <w:tcPr>
            <w:tcW w:w="2420" w:type="dxa"/>
            <w:vAlign w:val="bottom"/>
          </w:tcPr>
          <w:p>
            <w:pPr>
              <w:ind w:left="140"/>
              <w:spacing w:after="0"/>
              <w:rPr>
                <w:sz w:val="20"/>
                <w:szCs w:val="20"/>
                <w:color w:val="auto"/>
              </w:rPr>
            </w:pPr>
            <w:r>
              <w:rPr>
                <w:rFonts w:ascii="Arial" w:cs="Arial" w:eastAsia="Arial" w:hAnsi="Arial"/>
                <w:sz w:val="18"/>
                <w:szCs w:val="18"/>
                <w:b w:val="1"/>
                <w:bCs w:val="1"/>
                <w:color w:val="auto"/>
              </w:rPr>
              <w:t>2022 Revenue</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1,122</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2,636</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right="380" w:hanging="332"/>
        <w:spacing w:after="0" w:line="286" w:lineRule="auto"/>
        <w:tabs>
          <w:tab w:leader="none" w:pos="3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weakening in value of various currencies against the U.S. Dollar, the largest being the Euro, the British Pound, the Swedish Krona and the Australian Dollar.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Water Infrastructure revenue increased $20 million, or 3.5%, for the second quarter of 2022 (9.5% increase on a constant currency basis) as compared to the prior year. Revenue was negatively impacted by $34 million of foreign currency translation, with the change at constant currency coming entirely from organic growth of $ 54 million. Organic growth for the quarter was driven by strength in both the industrial and utility end markets. The industrial end market had organic growth across all major geographic regions, with particular strength in western Europe where we benefited from price realization and strong backlog execution, as well as strong dewatering demand in the emerging markets. The utilities end market also experienced organic growth led by strength in the U.S. driven by strong backlog and order intake execution, as well as good price realization, and in western Europe where we saw strong demand in utilities' capital spending. Strength in the utilities end market was partially offset by weakness in the emerging markets, mostly due to the negative impact of continued COVID lockdowns in China early on in the quarter.</w:t>
      </w:r>
    </w:p>
    <w:p>
      <w:pPr>
        <w:spacing w:after="0" w:line="7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From an application perspective, organic revenue growth for the second quarter was primarily driven by our transport applications reflecting strong revenue growth across all major geographies, with particular strength in the U.S., where we executed on a strong backlog, experienced solid price realization and healthy order intake, and in western Europe from solid price realization and increased demand in utility capital projects. We also experienced solid growth in emerging markets where Africa and Latin America benefited from robust mining and rental demand in our dewatering business. Organic revenue for the treatment application was also up modestly for the quarter, driven by healthy market conditions and solid backlog execution in western Europe and the U.S., partially offset by the negative impact in China as a result of the COVID lockdowns early in the quarter.</w:t>
      </w:r>
    </w:p>
    <w:p>
      <w:pPr>
        <w:spacing w:after="0" w:line="7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the six months ended June 30, 2022, revenue increased $44 million, or 4.1% (9.0% increase on a constant currency basis) as compared to the prior year. Revenue was negatively impacted by $53 million of foreign currency translation, with the change at constant currency coming entirely from organic growth of $97 million. Organic growth for the period was driven by strength in both the industrial and utility end markets. The industrial end market had organic growth across all major geographies, with particular strength in western Europe, Latin America and the U.S. The utilities end market also experienced organic growth led by strength in the U.S. and western Europe, bolstered by strong price realization, solid backlog execution and timing of projects as compared to prior year; which was partially offset by weakness in the emerging markets, primarily due to the negative impact of continued COVID lockdowns in China.</w:t>
      </w:r>
    </w:p>
    <w:p>
      <w:pPr>
        <w:spacing w:after="0" w:line="7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From an application perspective, organic revenue growth during the six-month period was driven almost entirely by our transport applications. Transport experienced strong revenue growth the U.S., where we executed on a strong backlog and experienced solid price realization, and in western Europe from solid price realization and strong utility project backlog execution. The emerging markets had strong growth in dewatering from mining demand in Latin America and Africa, which was partially offset by declines in China due to COVID lockdowns. Organic revenue for the treatment application was also up modestly for the period, as revenue growth from project deliveries and strong backlog execution in western Europe and the U.S. more than offset the negative impact in China as a result of the continued COVID lockdowns.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Applied Water revenue increased $15 million, or 3.6%, for the second quarter of 2022 (7.2% increase on a constant currency basis) as compared to the prior year. Revenue was negatively impacted by $ 15 million of foreign currency translation, with the change at constant currency coming entirely from organic growth of $30 million, driven by strength in the industrial and residential end markets, partially offset by modest declines in the commercial end market. Organic revenue growth in the second quarter was led by strength in the industrial water application in the U.S. where we benefited from price realization and strong backlog execution, and in western Europe where we benefited from investments that drove strong growth in manufacturing output. Residential building services also grew organically during the quarter, primarily from price realization and strong backlog execution in the U.S., partially offset by declines in China impacted by COVID related project delays. Organic growth for the quarter was partially offset by the declines in the commercial building services application in the U.S., impacted by supply constraints more than offsetting the growth in western Europe due to healthy order intake and stocking by distributors.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six months ended June 30, 2022, revenue increased $47 million, or 5.8% (8.7% increase on a constant currency basis) as compared to the prior year. Revenue was negatively impacted by $23 million of foreign currency translation during the six month period, with the change at constant currency coming entirely from organic growth of $70 million. Organic growth during the period was driven by strength in every end market and across all major geographic regions, with particular strength in the U.S. and western Europe. Organic revenue growth during the six month period was led by strength in the industrial water application in the U.S. where we benefited from price realization and strong backlog execution, and in western Europe, driven by healthy order intake. The residential building services application also grew organically during the period, primarily in the U.S. driven by price realization and strong backlog execution. Commercial building services also grew organically during the period, particularly in western Europe due to distributors maintaining higher stock levels, and in the U.S. where we benefited from price realization and strong backlog execution.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Measurement &amp; Control Solutions revenue decreased $ 22 million, or 6.0%, for the second quarter of 2022 (3.0% decrease on a constant currency basis) as compared to the prior year. Revenue was negatively impacted by $11 million of foreign currency translation, with the change at constant currency coming from an organic decline of $8 million and reduced revenue related to divestiture impacts of $3 million. Organic weakness in the quarter was driven by declines in the utility end markets in the U.S. and western Europe while the emerging markets remained relatively flat as compared to the prior year. The industrial end market experienced modest growth.</w:t>
      </w:r>
    </w:p>
    <w:p>
      <w:pPr>
        <w:spacing w:after="0" w:line="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From an application perspective, organic revenue decline during the quarter was driven by declines in the energy applications, in the U.S. as a result of continued electronic component shortages affecting our smart metering business. The water applications had modest growth in the emerging markets where we executed on strong backlog.</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six months ended June 30, 2022, revenue decreased $62 million, or 8.6% (6.2% decrease on a constant currency basis) as compared to the prior year. Revenue was negatively impacted by $17 million of foreign currency translation, with the change at constant currency coming from an organic decline of $40 million and reduced revenue related to divestiture impacts of $ 5 million. Organic weakness in the period was driven by declines in the utility end market across all major geographic regions, primarily driven by electronic component shortages which more than offset modest growth in the industrial end market.</w:t>
      </w:r>
    </w:p>
    <w:p>
      <w:pPr>
        <w:spacing w:after="0" w:line="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From an application perspective, organic revenue declined during the six-month period driven by weakness in both the energy and water applications, primarily in the U.S. as a result of continued electronic component shortages affecting our smart metering business. Declines in the water applications were slightly offset by modest growth in the emerging markets from strong backlog execution in our test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Orders / Backlog</w:t>
      </w:r>
    </w:p>
    <w:p>
      <w:pPr>
        <w:spacing w:after="0" w:line="1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 Orders received during the second quarter of 2022 were $1,684 million, an increase of $24 million, or 1.4%, over the prior year (5.5% increase on a constant currency basis). Orders received during the six months ended June 30, 2022 were $3,399 million, an increase of $201 million, or 6.3%, over the prior year (9.6% increase on a constant currency basis). Order intake was negatively impacted by $67 million and $107 million of foreign currency translation for the three and six months ended June 30, 2022, respectively.</w:t>
      </w:r>
    </w:p>
    <w:p>
      <w:pPr>
        <w:spacing w:after="0" w:line="75"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The following table illustrates the impact from organic growth, recent divestitures, and foreign currency translation in relation to orders during the three and six months ended June 30, 2022:</w:t>
      </w:r>
    </w:p>
    <w:tbl>
      <w:tblPr>
        <w:tblLayout w:type="fixed"/>
        <w:tblInd w:w="0" w:type="dxa"/>
        <w:tblCellMar>
          <w:top w:w="0" w:type="dxa"/>
          <w:left w:w="0" w:type="dxa"/>
          <w:bottom w:w="0" w:type="dxa"/>
          <w:right w:w="0" w:type="dxa"/>
        </w:tblCellMar>
      </w:tblPr>
      <w:tr>
        <w:trPr>
          <w:trHeight w:val="164"/>
        </w:trPr>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vMerge w:val="restart"/>
          </w:tcPr>
          <w:p>
            <w:pPr>
              <w:jc w:val="right"/>
              <w:ind w:right="173"/>
              <w:spacing w:after="0"/>
              <w:rPr>
                <w:sz w:val="20"/>
                <w:szCs w:val="20"/>
                <w:color w:val="auto"/>
              </w:rPr>
            </w:pPr>
            <w:r>
              <w:rPr>
                <w:rFonts w:ascii="Arial" w:cs="Arial" w:eastAsia="Arial" w:hAnsi="Arial"/>
                <w:sz w:val="16"/>
                <w:szCs w:val="16"/>
                <w:b w:val="1"/>
                <w:bCs w:val="1"/>
                <w:color w:val="auto"/>
                <w:w w:val="99"/>
              </w:rPr>
              <w:t>Water Infrastructure</w:t>
            </w:r>
          </w:p>
        </w:tc>
        <w:tc>
          <w:tcPr>
            <w:tcW w:w="2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vMerge w:val="restart"/>
          </w:tcPr>
          <w:p>
            <w:pPr>
              <w:jc w:val="right"/>
              <w:ind w:right="413"/>
              <w:spacing w:after="0"/>
              <w:rPr>
                <w:sz w:val="20"/>
                <w:szCs w:val="20"/>
                <w:color w:val="auto"/>
              </w:rPr>
            </w:pPr>
            <w:r>
              <w:rPr>
                <w:rFonts w:ascii="Arial" w:cs="Arial" w:eastAsia="Arial" w:hAnsi="Arial"/>
                <w:sz w:val="16"/>
                <w:szCs w:val="16"/>
                <w:b w:val="1"/>
                <w:bCs w:val="1"/>
                <w:color w:val="auto"/>
              </w:rPr>
              <w:t>Applied Water</w:t>
            </w:r>
          </w:p>
        </w:tc>
        <w:tc>
          <w:tcPr>
            <w:tcW w:w="180" w:type="dxa"/>
            <w:vAlign w:val="bottom"/>
            <w:vMerge w:val="restart"/>
          </w:tcPr>
          <w:p>
            <w:pPr>
              <w:spacing w:after="0"/>
              <w:rPr>
                <w:sz w:val="14"/>
                <w:szCs w:val="14"/>
                <w:color w:val="auto"/>
              </w:rPr>
            </w:pPr>
          </w:p>
        </w:tc>
        <w:tc>
          <w:tcPr>
            <w:tcW w:w="2260" w:type="dxa"/>
            <w:vAlign w:val="bottom"/>
            <w:gridSpan w:val="4"/>
          </w:tcPr>
          <w:p>
            <w:pPr>
              <w:ind w:left="120"/>
              <w:spacing w:after="0" w:line="164" w:lineRule="exact"/>
              <w:rPr>
                <w:sz w:val="20"/>
                <w:szCs w:val="20"/>
                <w:color w:val="auto"/>
              </w:rPr>
            </w:pPr>
            <w:r>
              <w:rPr>
                <w:rFonts w:ascii="Arial" w:cs="Arial" w:eastAsia="Arial" w:hAnsi="Arial"/>
                <w:sz w:val="16"/>
                <w:szCs w:val="16"/>
                <w:b w:val="1"/>
                <w:bCs w:val="1"/>
                <w:color w:val="auto"/>
              </w:rPr>
              <w:t>Measurement &amp; Control</w:t>
            </w:r>
          </w:p>
        </w:tc>
        <w:tc>
          <w:tcPr>
            <w:tcW w:w="260" w:type="dxa"/>
            <w:vAlign w:val="bottom"/>
          </w:tcPr>
          <w:p>
            <w:pPr>
              <w:spacing w:after="0"/>
              <w:rPr>
                <w:sz w:val="14"/>
                <w:szCs w:val="14"/>
                <w:color w:val="auto"/>
              </w:rPr>
            </w:pPr>
          </w:p>
        </w:tc>
        <w:tc>
          <w:tcPr>
            <w:tcW w:w="1800" w:type="dxa"/>
            <w:vAlign w:val="bottom"/>
            <w:gridSpan w:val="2"/>
            <w:vMerge w:val="restart"/>
          </w:tcPr>
          <w:p>
            <w:pPr>
              <w:jc w:val="right"/>
              <w:ind w:right="493"/>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573"/>
              <w:spacing w:after="0"/>
              <w:rPr>
                <w:sz w:val="20"/>
                <w:szCs w:val="20"/>
                <w:color w:val="auto"/>
              </w:rPr>
            </w:pPr>
            <w:r>
              <w:rPr>
                <w:rFonts w:ascii="Arial" w:cs="Arial" w:eastAsia="Arial" w:hAnsi="Arial"/>
                <w:sz w:val="16"/>
                <w:szCs w:val="16"/>
                <w:b w:val="1"/>
                <w:bCs w:val="1"/>
                <w:color w:val="auto"/>
              </w:rPr>
              <w:t>Solutions</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120" w:type="dxa"/>
            <w:vAlign w:val="bottom"/>
          </w:tcPr>
          <w:p>
            <w:pPr>
              <w:jc w:val="right"/>
              <w:ind w:right="13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9"/>
        </w:trPr>
        <w:tc>
          <w:tcPr>
            <w:tcW w:w="2420" w:type="dxa"/>
            <w:vAlign w:val="bottom"/>
          </w:tcPr>
          <w:p>
            <w:pPr>
              <w:ind w:left="20"/>
              <w:spacing w:after="0"/>
              <w:rPr>
                <w:sz w:val="20"/>
                <w:szCs w:val="20"/>
                <w:color w:val="auto"/>
              </w:rPr>
            </w:pPr>
            <w:r>
              <w:rPr>
                <w:rFonts w:ascii="Arial" w:cs="Arial" w:eastAsia="Arial" w:hAnsi="Arial"/>
                <w:sz w:val="18"/>
                <w:szCs w:val="18"/>
                <w:color w:val="auto"/>
              </w:rPr>
              <w:t>2021 Orders</w:t>
            </w: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1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Growth</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30"/>
        </w:trPr>
        <w:tc>
          <w:tcPr>
            <w:tcW w:w="2420" w:type="dxa"/>
            <w:vAlign w:val="bottom"/>
          </w:tcPr>
          <w:p>
            <w:pPr>
              <w:ind w:left="140"/>
              <w:spacing w:after="0"/>
              <w:rPr>
                <w:sz w:val="20"/>
                <w:szCs w:val="20"/>
                <w:color w:val="auto"/>
              </w:rPr>
            </w:pPr>
            <w:r>
              <w:rPr>
                <w:rFonts w:ascii="Arial" w:cs="Arial" w:eastAsia="Arial" w:hAnsi="Arial"/>
                <w:sz w:val="18"/>
                <w:szCs w:val="18"/>
                <w:color w:val="auto"/>
              </w:rPr>
              <w:t>Divestitures</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176"/>
        </w:trPr>
        <w:tc>
          <w:tcPr>
            <w:tcW w:w="2420" w:type="dxa"/>
            <w:vAlign w:val="bottom"/>
          </w:tcPr>
          <w:p>
            <w:pPr>
              <w:ind w:left="140"/>
              <w:spacing w:after="0" w:line="176" w:lineRule="exact"/>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w:t>
            </w: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change in orders</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2022 Orders</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731</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380" w:hanging="332"/>
        <w:spacing w:after="0" w:line="286" w:lineRule="auto"/>
        <w:tabs>
          <w:tab w:leader="none" w:pos="335"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weakening in value of various currencies against the U.S. Dollar, the largest being the Euro, the British Pound, the Swedish Krona and the Australian Dollar.</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vMerge w:val="restart"/>
          </w:tcPr>
          <w:p>
            <w:pPr>
              <w:jc w:val="right"/>
              <w:ind w:right="153"/>
              <w:spacing w:after="0"/>
              <w:rPr>
                <w:sz w:val="20"/>
                <w:szCs w:val="20"/>
                <w:color w:val="auto"/>
              </w:rPr>
            </w:pPr>
            <w:r>
              <w:rPr>
                <w:rFonts w:ascii="Arial" w:cs="Arial" w:eastAsia="Arial" w:hAnsi="Arial"/>
                <w:sz w:val="16"/>
                <w:szCs w:val="16"/>
                <w:b w:val="1"/>
                <w:bCs w:val="1"/>
                <w:color w:val="auto"/>
              </w:rPr>
              <w:t>Water Infrastructure</w:t>
            </w:r>
          </w:p>
        </w:tc>
        <w:tc>
          <w:tcPr>
            <w:tcW w:w="20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vMerge w:val="restart"/>
          </w:tcPr>
          <w:p>
            <w:pPr>
              <w:jc w:val="right"/>
              <w:ind w:right="413"/>
              <w:spacing w:after="0"/>
              <w:rPr>
                <w:sz w:val="20"/>
                <w:szCs w:val="20"/>
                <w:color w:val="auto"/>
              </w:rPr>
            </w:pPr>
            <w:r>
              <w:rPr>
                <w:rFonts w:ascii="Arial" w:cs="Arial" w:eastAsia="Arial" w:hAnsi="Arial"/>
                <w:sz w:val="16"/>
                <w:szCs w:val="16"/>
                <w:b w:val="1"/>
                <w:bCs w:val="1"/>
                <w:color w:val="auto"/>
              </w:rPr>
              <w:t>Applied Water</w:t>
            </w:r>
          </w:p>
        </w:tc>
        <w:tc>
          <w:tcPr>
            <w:tcW w:w="180" w:type="dxa"/>
            <w:vAlign w:val="bottom"/>
            <w:vMerge w:val="restart"/>
          </w:tcPr>
          <w:p>
            <w:pPr>
              <w:spacing w:after="0"/>
              <w:rPr>
                <w:sz w:val="16"/>
                <w:szCs w:val="16"/>
                <w:color w:val="auto"/>
              </w:rPr>
            </w:pPr>
          </w:p>
        </w:tc>
        <w:tc>
          <w:tcPr>
            <w:tcW w:w="2260" w:type="dxa"/>
            <w:vAlign w:val="bottom"/>
            <w:gridSpan w:val="4"/>
          </w:tcPr>
          <w:p>
            <w:pPr>
              <w:ind w:left="120"/>
              <w:spacing w:after="0"/>
              <w:rPr>
                <w:sz w:val="20"/>
                <w:szCs w:val="20"/>
                <w:color w:val="auto"/>
              </w:rPr>
            </w:pPr>
            <w:r>
              <w:rPr>
                <w:rFonts w:ascii="Arial" w:cs="Arial" w:eastAsia="Arial" w:hAnsi="Arial"/>
                <w:sz w:val="16"/>
                <w:szCs w:val="16"/>
                <w:b w:val="1"/>
                <w:bCs w:val="1"/>
                <w:color w:val="auto"/>
              </w:rPr>
              <w:t>Measurement &amp; Control</w:t>
            </w:r>
          </w:p>
        </w:tc>
        <w:tc>
          <w:tcPr>
            <w:tcW w:w="260" w:type="dxa"/>
            <w:vAlign w:val="bottom"/>
          </w:tcPr>
          <w:p>
            <w:pPr>
              <w:spacing w:after="0"/>
              <w:rPr>
                <w:sz w:val="16"/>
                <w:szCs w:val="16"/>
                <w:color w:val="auto"/>
              </w:rPr>
            </w:pPr>
          </w:p>
        </w:tc>
        <w:tc>
          <w:tcPr>
            <w:tcW w:w="1800" w:type="dxa"/>
            <w:vAlign w:val="bottom"/>
            <w:gridSpan w:val="2"/>
            <w:vMerge w:val="restart"/>
          </w:tcPr>
          <w:p>
            <w:pPr>
              <w:jc w:val="right"/>
              <w:ind w:right="493"/>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573"/>
              <w:spacing w:after="0"/>
              <w:rPr>
                <w:sz w:val="20"/>
                <w:szCs w:val="20"/>
                <w:color w:val="auto"/>
              </w:rPr>
            </w:pPr>
            <w:r>
              <w:rPr>
                <w:rFonts w:ascii="Arial" w:cs="Arial" w:eastAsia="Arial" w:hAnsi="Arial"/>
                <w:sz w:val="16"/>
                <w:szCs w:val="16"/>
                <w:b w:val="1"/>
                <w:bCs w:val="1"/>
                <w:color w:val="auto"/>
              </w:rPr>
              <w:t>Solutions</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440" w:type="dxa"/>
            <w:vAlign w:val="bottom"/>
          </w:tcPr>
          <w:p>
            <w:pPr>
              <w:ind w:left="260"/>
              <w:spacing w:after="0"/>
              <w:rPr>
                <w:sz w:val="20"/>
                <w:szCs w:val="20"/>
                <w:color w:val="auto"/>
              </w:rPr>
            </w:pPr>
            <w:r>
              <w:rPr>
                <w:rFonts w:ascii="Arial" w:cs="Arial" w:eastAsia="Arial" w:hAnsi="Arial"/>
                <w:sz w:val="14"/>
                <w:szCs w:val="14"/>
                <w:color w:val="auto"/>
              </w:rPr>
              <w:t>(in millions)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300" w:type="dxa"/>
            <w:vAlign w:val="bottom"/>
            <w:gridSpan w:val="2"/>
          </w:tcPr>
          <w:p>
            <w:pPr>
              <w:ind w:left="220"/>
              <w:spacing w:after="0"/>
              <w:rPr>
                <w:sz w:val="20"/>
                <w:szCs w:val="20"/>
                <w:color w:val="auto"/>
              </w:rPr>
            </w:pPr>
            <w:r>
              <w:rPr>
                <w:rFonts w:ascii="Arial" w:cs="Arial" w:eastAsia="Arial" w:hAnsi="Arial"/>
                <w:sz w:val="14"/>
                <w:szCs w:val="14"/>
                <w:color w:val="auto"/>
              </w:rPr>
              <w:t>% Change</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Change</w:t>
            </w:r>
          </w:p>
        </w:tc>
        <w:tc>
          <w:tcPr>
            <w:tcW w:w="1120" w:type="dxa"/>
            <w:vAlign w:val="bottom"/>
          </w:tcPr>
          <w:p>
            <w:pPr>
              <w:jc w:val="right"/>
              <w:ind w:right="13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2021 Orders</w:t>
            </w: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1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Growth</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2440" w:type="dxa"/>
            <w:vAlign w:val="bottom"/>
          </w:tcPr>
          <w:p>
            <w:pPr>
              <w:ind w:left="140"/>
              <w:spacing w:after="0"/>
              <w:rPr>
                <w:sz w:val="20"/>
                <w:szCs w:val="20"/>
                <w:color w:val="auto"/>
              </w:rPr>
            </w:pPr>
            <w:r>
              <w:rPr>
                <w:rFonts w:ascii="Arial" w:cs="Arial" w:eastAsia="Arial" w:hAnsi="Arial"/>
                <w:sz w:val="18"/>
                <w:szCs w:val="18"/>
                <w:color w:val="auto"/>
              </w:rPr>
              <w:t>Divestitures</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4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2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2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184"/>
        </w:trPr>
        <w:tc>
          <w:tcPr>
            <w:tcW w:w="2440" w:type="dxa"/>
            <w:vAlign w:val="bottom"/>
          </w:tcPr>
          <w:p>
            <w:pPr>
              <w:ind w:left="140"/>
              <w:spacing w:after="0" w:line="183" w:lineRule="exact"/>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5"/>
        </w:trPr>
        <w:tc>
          <w:tcPr>
            <w:tcW w:w="2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w:t>
            </w: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change in orders</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23"/>
        </w:trPr>
        <w:tc>
          <w:tcPr>
            <w:tcW w:w="2440" w:type="dxa"/>
            <w:vAlign w:val="bottom"/>
          </w:tcPr>
          <w:p>
            <w:pPr>
              <w:ind w:left="20"/>
              <w:spacing w:after="0"/>
              <w:rPr>
                <w:sz w:val="20"/>
                <w:szCs w:val="20"/>
                <w:color w:val="auto"/>
              </w:rPr>
            </w:pPr>
            <w:r>
              <w:rPr>
                <w:rFonts w:ascii="Arial" w:cs="Arial" w:eastAsia="Arial" w:hAnsi="Arial"/>
                <w:sz w:val="18"/>
                <w:szCs w:val="18"/>
                <w:b w:val="1"/>
                <w:bCs w:val="1"/>
                <w:color w:val="auto"/>
              </w:rPr>
              <w:t>2022 Orders</w:t>
            </w:r>
          </w:p>
        </w:tc>
        <w:tc>
          <w:tcPr>
            <w:tcW w:w="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985</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1,023</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380" w:hanging="332"/>
        <w:spacing w:after="0" w:line="286"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Foreign currency translation impact for the quarter due to the weakening in value of various currencies against the U.S. Dollar, the largest being the Euro, the British Pound, the Swedish Krona and the Australian Dollar.</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Water Infrastructure segment orders increased $92 million, or 14.4%, to $731 million (21.0% on a constant currency basis) for the second quarter of 2022 as compared to the prior year. Order growth for the quarter was negatively impacted by $42 million of foreign currency translation. The order increase on a constant currency basis in the quarter was driven by organic order growth in our transport applications across all major geographic regions, primarily in the U.S., where we benefited from strong market demand and large infrastructure projects. Transport also had organic order growth in western Europe, where we saw healthy demand and capital spending from utility customers and in emerging markets, primarily from continued mining demand in Africa. For the treatment application, organic orders declined in the quarter, primarily due to in weakness in the emerging markets from the impact of COVID lockdowns in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1" w:name="page42"/>
    <w:bookmarkEnd w:id="41"/>
    <w:p>
      <w:pPr>
        <w:spacing w:after="0" w:line="255" w:lineRule="auto"/>
        <w:rPr>
          <w:sz w:val="20"/>
          <w:szCs w:val="20"/>
          <w:color w:val="auto"/>
        </w:rPr>
      </w:pPr>
      <w:r>
        <w:rPr>
          <w:rFonts w:ascii="Arial" w:cs="Arial" w:eastAsia="Arial" w:hAnsi="Arial"/>
          <w:sz w:val="18"/>
          <w:szCs w:val="18"/>
          <w:color w:val="auto"/>
        </w:rPr>
        <w:t>For the six months ended June 30, 2022, orders increased $141 million, or 11.3%, to $1,391 million (16.6% on a constant currency basis) as compared to the prior year. Order growth for the period was negatively impacted by $66 million of foreign currency translation. Organic orders increased during the period as strength in the transport applications came primarily from the U.S. where we benefited from strong market demand, large infrastructure projects and mining demand for the dewatering business. There was also order growth from water utility customers in western Europe and dewatering demand in the emerging markets coming from Africa and Latin America, partially offset by order declines in India where there was a large project order in the prior year, and China impacted by the COVID lockdowns. The treatment application saw a decrease in orders due to the prolonged COVID lockdowns in China, which more than offset project order wins in western Europe in the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Applied Water segment orders decreased $6 million, or 1.2%, to $480 million (1.9% increase on a constant currency basis) for the second quarter of 2022 as compared to the prior year. Order growth for the quarter was negatively impacted by $15 million of foreign currency translation. The order increase on a constant currency basis was driven by strength across all major geographic regions, primarily the emerging markets where we saw strong project orders in Africa and distributor order strength in India.</w:t>
      </w:r>
    </w:p>
    <w:p>
      <w:pPr>
        <w:spacing w:after="0" w:line="6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For the six months ended June 30, 2022, orders increased $22 million, or 2.3%, to $985 million (4.9% increase on a constant currency basis) as compared to the prior year. Order growth for the period was negatively impacted by $25 million of foreign currency translation. The order increase on a constant currency basis was driven by strength across all major geographic regions. This reflects demand and timing of orders to address longer lead times in the U.S and western Europe, and strong project orders in the emerging markets.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Measurement &amp; Control Solutions segment orders decreased $62 million, or 11.6%, to $473 million (9.7% decrease on a constant currency basis) for the second quarter of 2022 as compared to the prior year. Order weakness for the quarter was negatively impacted by $10 million of foreign currency translation and reduced orders related to divestiture impacts of $ 5 million. The order decrease on a constant currency basis consisted primarily of organic order declines of $47 million, or (8.8)%. Organic orders for the quarter decreased in water applications, primarily driven by moderation of the early increased demand and advanced ordering to address electronic component shortages that we benefited from in the prior year and lapping of large prior year orders for metrology projects in the U.S. and western Europe. This decline was partially offset by strength in the energy applications driven by continued orders to mitigate electronic component shortages and longer lead times.</w:t>
      </w:r>
    </w:p>
    <w:p>
      <w:pPr>
        <w:spacing w:after="0" w:line="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For the six months ended June 30, 2022, orders increased $38 million or 3.9%, to $1,023 million (5.5% increase on a constant currency basis) as compared to the prior year. Order growth for the period was negatively impacted by $16 million of foreign currency translation and reduced orders related to divestiture impacts of $11 million. The order increase on a constant currency basis consisted primarily of organic order growth of $65 million, or 6.6%. Organic orders for the period increased in the energy application, primarily driven by demand and continued advanced ordering to address electronic component shortages. This increase was offset by weakness in the water application driven by the moderation of early orders to mitigate electronic component shortages and longer lead times that drove order growth in the prior year, as well as modest order growth in our test application.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customer to customer based on their requirements. Annual or multi-year contracts are subject to rescheduling and cancellation by customers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due to the long-term nature of the contracts. As such, beginning total backlog, plus orders, minus revenues, will not equal ending total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backlog due to contract adjustments, foreign currency fluctuations, and other factors. Typically, large projects require longer lead production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cycles and deployment schedules and delays occur from time to time. Total backlog was $3,757 million at June 30, 2022, an increase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$978 million or 35.2%, as compared to June 30, 2021 backlog of $2,779 million, and an increase of $517 million or 16.0%, as compared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backlog of $3,240 million, driven by the significant increase in orders in the year. We anticipate that approximately 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backlog at June 30, 2022 will be recognized as revenue in the remainder of 2022. There were no significant order cancellations during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Gross margin as a percentage of revenue decreased 40 and 130 basis points to 38.1% and 37.4% for the three and six months ended June 30, 2022, as compared to 38.5% and 38.7% for the comparative 2021 period. The gross margin decrease for the quarter was primarily driven by cost inflation, as well as increased spending on strategic investments and unfavorable mix. These impacts were partially offset by price realization, productivity savings and net favorable impacts from exchange rate movements. The gross margin decrease for the six month period was primarily driven by cost inflation, as well as increased spending on strategic investments and unfavorable mix. These impacts were partially offset by price realization, productivity savings and net favorable impacts from foreign exchange rate movements.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operating expenses for the three and six months ended June 30, 2022 and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4"/>
                <w:szCs w:val="14"/>
                <w:color w:val="auto"/>
              </w:rPr>
              <w:t>Change</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56"/>
        </w:trPr>
        <w:tc>
          <w:tcPr>
            <w:tcW w:w="3540" w:type="dxa"/>
            <w:vAlign w:val="bottom"/>
          </w:tcPr>
          <w:p>
            <w:pPr>
              <w:ind w:left="140"/>
              <w:spacing w:after="0" w:line="156" w:lineRule="exact"/>
              <w:rPr>
                <w:sz w:val="20"/>
                <w:szCs w:val="20"/>
                <w:color w:val="auto"/>
              </w:rPr>
            </w:pPr>
            <w:r>
              <w:rPr>
                <w:rFonts w:ascii="Arial" w:cs="Arial" w:eastAsia="Arial" w:hAnsi="Arial"/>
                <w:sz w:val="18"/>
                <w:szCs w:val="18"/>
                <w:color w:val="auto"/>
              </w:rPr>
              <w:t>Selling, general and administrative</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314</w:t>
            </w:r>
          </w:p>
        </w:tc>
        <w:tc>
          <w:tcPr>
            <w:tcW w:w="3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46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618</w:t>
            </w:r>
          </w:p>
        </w:tc>
        <w:tc>
          <w:tcPr>
            <w:tcW w:w="100" w:type="dxa"/>
            <w:vAlign w:val="bottom"/>
          </w:tcPr>
          <w:p>
            <w:pPr>
              <w:spacing w:after="0"/>
              <w:rPr>
                <w:sz w:val="13"/>
                <w:szCs w:val="13"/>
                <w:color w:val="auto"/>
              </w:rPr>
            </w:pPr>
          </w:p>
        </w:tc>
        <w:tc>
          <w:tcPr>
            <w:tcW w:w="260" w:type="dxa"/>
            <w:vAlign w:val="bottom"/>
            <w:vMerge w:val="restart"/>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54"/>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140"/>
              <w:spacing w:after="0"/>
              <w:rPr>
                <w:sz w:val="20"/>
                <w:szCs w:val="20"/>
                <w:color w:val="auto"/>
              </w:rPr>
            </w:pPr>
            <w:r>
              <w:rPr>
                <w:rFonts w:ascii="Arial" w:cs="Arial" w:eastAsia="Arial" w:hAnsi="Arial"/>
                <w:sz w:val="18"/>
                <w:szCs w:val="18"/>
                <w:color w:val="auto"/>
              </w:rPr>
              <w:t>expenses ("SG&amp;A")</w:t>
            </w:r>
          </w:p>
        </w:tc>
        <w:tc>
          <w:tcPr>
            <w:tcW w:w="26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4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SG&amp;A as a % of 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bp</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bp</w:t>
            </w:r>
          </w:p>
        </w:tc>
        <w:tc>
          <w:tcPr>
            <w:tcW w:w="0" w:type="dxa"/>
            <w:vAlign w:val="bottom"/>
          </w:tcPr>
          <w:p>
            <w:pPr>
              <w:spacing w:after="0"/>
              <w:rPr>
                <w:sz w:val="1"/>
                <w:szCs w:val="1"/>
                <w:color w:val="auto"/>
              </w:rPr>
            </w:pPr>
          </w:p>
        </w:tc>
      </w:tr>
      <w:tr>
        <w:trPr>
          <w:trHeight w:val="175"/>
        </w:trPr>
        <w:tc>
          <w:tcPr>
            <w:tcW w:w="3540" w:type="dxa"/>
            <w:vAlign w:val="bottom"/>
          </w:tcPr>
          <w:p>
            <w:pPr>
              <w:ind w:left="140"/>
              <w:spacing w:after="0" w:line="176" w:lineRule="exact"/>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15"/>
                <w:szCs w:val="15"/>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ind w:right="154"/>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3"/>
            <w:vMerge w:val="restart"/>
          </w:tcPr>
          <w:p>
            <w:pPr>
              <w:jc w:val="right"/>
              <w:ind w:right="38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5"/>
                <w:szCs w:val="15"/>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154"/>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48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140"/>
              <w:spacing w:after="0"/>
              <w:rPr>
                <w:sz w:val="20"/>
                <w:szCs w:val="20"/>
                <w:color w:val="auto"/>
              </w:rPr>
            </w:pPr>
            <w:r>
              <w:rPr>
                <w:rFonts w:ascii="Arial" w:cs="Arial" w:eastAsia="Arial" w:hAnsi="Arial"/>
                <w:sz w:val="18"/>
                <w:szCs w:val="18"/>
                <w:color w:val="auto"/>
              </w:rPr>
              <w:t>("R&amp;D")</w:t>
            </w:r>
          </w:p>
        </w:tc>
        <w:tc>
          <w:tcPr>
            <w:tcW w:w="2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R&amp;D as a % of 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bp</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 bp</w:t>
            </w:r>
          </w:p>
        </w:tc>
        <w:tc>
          <w:tcPr>
            <w:tcW w:w="0" w:type="dxa"/>
            <w:vAlign w:val="bottom"/>
          </w:tcPr>
          <w:p>
            <w:pPr>
              <w:spacing w:after="0"/>
              <w:rPr>
                <w:sz w:val="1"/>
                <w:szCs w:val="1"/>
                <w:color w:val="auto"/>
              </w:rPr>
            </w:pPr>
          </w:p>
        </w:tc>
      </w:tr>
      <w:tr>
        <w:trPr>
          <w:trHeight w:val="176"/>
        </w:trPr>
        <w:tc>
          <w:tcPr>
            <w:tcW w:w="3540" w:type="dxa"/>
            <w:vAlign w:val="bottom"/>
          </w:tcPr>
          <w:p>
            <w:pPr>
              <w:ind w:left="140"/>
              <w:spacing w:after="0" w:line="176" w:lineRule="exact"/>
              <w:rPr>
                <w:sz w:val="20"/>
                <w:szCs w:val="20"/>
                <w:color w:val="auto"/>
              </w:rPr>
            </w:pPr>
            <w:r>
              <w:rPr>
                <w:rFonts w:ascii="Arial" w:cs="Arial" w:eastAsia="Arial" w:hAnsi="Arial"/>
                <w:sz w:val="18"/>
                <w:szCs w:val="18"/>
                <w:color w:val="auto"/>
              </w:rPr>
              <w:t>Restructuring and asset impairment</w:t>
            </w:r>
          </w:p>
        </w:tc>
        <w:tc>
          <w:tcPr>
            <w:tcW w:w="260" w:type="dxa"/>
            <w:vAlign w:val="bottom"/>
          </w:tcPr>
          <w:p>
            <w:pPr>
              <w:spacing w:after="0"/>
              <w:rPr>
                <w:sz w:val="15"/>
                <w:szCs w:val="15"/>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ind w:right="15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133.3</w:t>
            </w:r>
          </w:p>
        </w:tc>
        <w:tc>
          <w:tcPr>
            <w:tcW w:w="46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15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charges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vMerge w:val="continue"/>
          </w:tcPr>
          <w:p>
            <w:pPr>
              <w:spacing w:after="0"/>
              <w:rPr>
                <w:sz w:val="21"/>
                <w:szCs w:val="21"/>
                <w:color w:val="auto"/>
              </w:rPr>
            </w:pPr>
          </w:p>
        </w:tc>
        <w:tc>
          <w:tcPr>
            <w:tcW w:w="46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374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3540" w:type="dxa"/>
            <w:vAlign w:val="bottom"/>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27.4 %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bp</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bp</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SG&amp;A expenses increased by $10 million to $ 314 million, or 23.0% of revenue, in the second quarter of 2022, as compared to $304 million, or 22.5% of revenue, in the comparable 2021 period; and increased by $13 million to $618 million, or 23.4% of revenue, in the six months ended June 30, 2022, as compared to $605 million, or 23.2% of revenue, in the comparable 2021 period. Revenue growth driven by favorable price realization was slightly higher than SG&amp;A increases resulting in a slightly lower SG&amp;A as a percentage of sales. Cost increases in the quarter were driven by increased spending on strategic investments and logistics costs, partially offset by cost reductions from our productivity, restructuring and other cost savings initiatives. Cost increases in the first half of the year were driven by increased spending on strategic investments partially offset by cost reductions from our productivity, restructuring and other cost savings initiatives.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R&amp;D expense was $53 million, or 3.9% of revenue, in the second quarter of 2022, as compared to $53 million, or 4.0% of revenue in the second quarter of 2021; and was $105 million, or 4.0% of revenue, in the six months ended June 30, 2022, as compared to $103 million, or 4.0% of revenue, in the comparable 2021 period. The decrease in R&amp;D as a percent of revenue for the quarter was primarily driven by timing of spending on strategic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During the three and six months ended June 30, 2022, we incurred restructuring charges of $ 6 million. We incurred these charges primarily as a continuation of our efforts to reposition our European and North American businesses to optimize our cost structure and improve our operational efficiency and effectiveness. The charges included the reduction of headcount across all segments.</w:t>
      </w:r>
    </w:p>
    <w:p>
      <w:pPr>
        <w:spacing w:after="0" w:line="6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During the three and six months ended June 30, 2021, we recognized restructuring charges of $3 million and $8 million, respectively, of which $2 million and $6 million relate to actions previously announced in 2020. These charges included reduction of headcount across all segments and asset impairments within our Measurement &amp; Control Solutions segment.</w:t>
      </w:r>
    </w:p>
    <w:p>
      <w:pPr>
        <w:spacing w:after="0" w:line="200" w:lineRule="exact"/>
        <w:rPr>
          <w:sz w:val="20"/>
          <w:szCs w:val="20"/>
          <w:color w:val="auto"/>
        </w:rPr>
      </w:pPr>
    </w:p>
    <w:p>
      <w:pPr>
        <w:spacing w:after="0" w:line="214" w:lineRule="exact"/>
        <w:rPr>
          <w:sz w:val="20"/>
          <w:szCs w:val="20"/>
          <w:color w:val="auto"/>
        </w:rPr>
      </w:pPr>
    </w:p>
    <w:p>
      <w:pPr>
        <w:ind w:right="880"/>
        <w:spacing w:after="0" w:line="279" w:lineRule="auto"/>
        <w:rPr>
          <w:sz w:val="20"/>
          <w:szCs w:val="20"/>
          <w:color w:val="auto"/>
        </w:rPr>
      </w:pPr>
      <w:r>
        <w:rPr>
          <w:rFonts w:ascii="Arial" w:cs="Arial" w:eastAsia="Arial" w:hAnsi="Arial"/>
          <w:sz w:val="18"/>
          <w:szCs w:val="18"/>
          <w:color w:val="auto"/>
        </w:rPr>
        <w:t>The following is a roll-forward for the six months ended June 30, 2022 and 2021 of employee position eliminations associated with restructuring activities: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80" w:type="dxa"/>
            <w:vAlign w:val="bottom"/>
            <w:gridSpan w:val="2"/>
          </w:tcPr>
          <w:p>
            <w:pPr>
              <w:ind w:left="9100"/>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374"/>
              <w:spacing w:after="0"/>
              <w:rPr>
                <w:sz w:val="20"/>
                <w:szCs w:val="20"/>
                <w:color w:val="auto"/>
              </w:rPr>
            </w:pPr>
            <w:r>
              <w:rPr>
                <w:rFonts w:ascii="Arial" w:cs="Arial" w:eastAsia="Arial" w:hAnsi="Arial"/>
                <w:sz w:val="14"/>
                <w:szCs w:val="14"/>
                <w:color w:val="auto"/>
              </w:rPr>
              <w:t>2021</w:t>
            </w:r>
          </w:p>
        </w:tc>
      </w:tr>
      <w:tr>
        <w:trPr>
          <w:trHeight w:val="224"/>
        </w:trPr>
        <w:tc>
          <w:tcPr>
            <w:tcW w:w="8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8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60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29"/>
        </w:trPr>
        <w:tc>
          <w:tcPr>
            <w:tcW w:w="9480" w:type="dxa"/>
            <w:vAlign w:val="bottom"/>
            <w:gridSpan w:val="2"/>
          </w:tcPr>
          <w:p>
            <w:pPr>
              <w:ind w:left="20"/>
              <w:spacing w:after="0"/>
              <w:rPr>
                <w:sz w:val="20"/>
                <w:szCs w:val="20"/>
                <w:color w:val="auto"/>
              </w:rPr>
            </w:pPr>
            <w:r>
              <w:rPr>
                <w:rFonts w:ascii="Arial" w:cs="Arial" w:eastAsia="Arial" w:hAnsi="Arial"/>
                <w:sz w:val="18"/>
                <w:szCs w:val="18"/>
                <w:color w:val="auto"/>
              </w:rPr>
              <w:t>Additional planned reductions</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99"/>
              </w:rPr>
              <w:t>69</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(48)</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3"/>
        </w:trPr>
        <w:tc>
          <w:tcPr>
            <w:tcW w:w="9480" w:type="dxa"/>
            <w:vAlign w:val="bottom"/>
            <w:gridSpan w:val="2"/>
          </w:tcPr>
          <w:p>
            <w:pPr>
              <w:ind w:left="20"/>
              <w:spacing w:after="0"/>
              <w:rPr>
                <w:sz w:val="20"/>
                <w:szCs w:val="20"/>
                <w:color w:val="auto"/>
              </w:rPr>
            </w:pPr>
            <w:r>
              <w:rPr>
                <w:rFonts w:ascii="Arial" w:cs="Arial" w:eastAsia="Arial" w:hAnsi="Arial"/>
                <w:sz w:val="18"/>
                <w:szCs w:val="18"/>
                <w:color w:val="auto"/>
              </w:rPr>
              <w:t>Planned reductions - June 30</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99"/>
              </w:rPr>
              <w:t>81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1"/>
        </w:trPr>
        <w:tc>
          <w:tcPr>
            <w:tcW w:w="8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expected restructuring spend in 2022 and thereafter:</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Water</w:t>
            </w: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Applied Water</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Measurement &amp;</w:t>
            </w:r>
          </w:p>
        </w:tc>
        <w:tc>
          <w:tcPr>
            <w:tcW w:w="2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Corporate</w:t>
            </w: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9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46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Control Solutions</w:t>
            </w:r>
          </w:p>
        </w:tc>
        <w:tc>
          <w:tcPr>
            <w:tcW w:w="24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2022:</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Q1 2022</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Costs incurred during Q2 2022</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2021</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Costs incurred during Q1 2022</w:t>
            </w: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Q2 2022</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color w:val="auto"/>
              </w:rPr>
              <w:t>Total expected costs remaining</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Water Infrastructure, Applied Water and Measurement &amp; Control Solutions actions commenced in 2022 consist primarily of severance charges. The Water Infrastructure and Applied Water actions are complete and the Measurement &amp; Control Solutions actions are expected to continue through the end of 2022.</w:t>
      </w:r>
    </w:p>
    <w:p>
      <w:pPr>
        <w:spacing w:after="0" w:line="171"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The Water Infrastructure and Measurement &amp; Control Solutions actions commenced in 2021 consist primarily of severance charges. The Water Infrastructure actions are complete and the Measurement &amp; Control Solutions actions are expected to continue through the end of 2022.</w:t>
      </w:r>
    </w:p>
    <w:p>
      <w:pPr>
        <w:spacing w:after="0" w:line="17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During the second quarter of 2022, we also incurred charges of $1 million within the Measurement &amp; Control Solutions segment, related to actions commenced prior to 2021.</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We currently expect to incur between $10 million and $15 million in restructuring costs for the full year.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3" w:right="359" w:bottom="1440" w:gutter="0" w:footer="0" w:header="0"/>
        </w:sectPr>
      </w:pPr>
    </w:p>
    <w:bookmarkStart w:id="44" w:name="page45"/>
    <w:bookmarkEnd w:id="44"/>
    <w:p>
      <w:pPr>
        <w:ind w:right="500"/>
        <w:spacing w:after="0" w:line="287" w:lineRule="auto"/>
        <w:rPr>
          <w:sz w:val="20"/>
          <w:szCs w:val="20"/>
          <w:color w:val="auto"/>
        </w:rPr>
      </w:pPr>
      <w:r>
        <w:rPr>
          <w:rFonts w:ascii="Arial" w:cs="Arial" w:eastAsia="Arial" w:hAnsi="Arial"/>
          <w:sz w:val="18"/>
          <w:szCs w:val="18"/>
          <w:color w:val="auto"/>
        </w:rPr>
        <w:t>restructuring charges are primarily related to efforts to optimize our cost structure, improve our operational efficiency and effectiveness, strengthen our competitive positioning and better serve our customers.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Adjusted EBITDA</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income during the second quarter of 2022 was $146 million, reflecting a decrease of 8.8% compared to $160 million in the second quarter of 2021. Operating margin was 10.7% for the second quarter of 2022 versus 11.8% for the comparable period in 2021, a decrease of 110 basis points. Operating margin was negatively impacted by increased restructuring and realignment costs of $2 million as compared to the second quarter of 2021, and an increase in special charges of $1 million. Excluding the impact of these items, adjusted operating income was $155 million with an adjusted operating margin of 11.4% in the second quarter of 2022 as compared to adjusted operating income of $166 million with an adjusted operating margin of 12.3% in the second quarter of 2021. The decrease in adjusted operating margin was primarily due to cost inflation, increased spending on strategic investments and some unfavorable mix. These impacts were partially offset by strong price realization and productivity savings.</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Operating income for the six months ended June 30, 2022 was $257 million, reflecting a decrease of 12.3% compared to $293 million in 2021. Operating margin was 9.7% for the six months ended June 30, 2022 versus 11.2% for the comparable period in 2021, a decrease of 150 basis points. Operating margin benefited from a decrease in restructuring and realignment costs of $2 million as compared to 2021. Excluding the impact of these items, adjusted operating income was $271 million with an adjusted operating margin of 10.3% for the six months ended June 30, 2022 as compared to adjusted operating income of $309 million with an adjusted operating margin of 11.9% in 2021. The decrease in adjusted operating margin was impacted by the same dynamics impacting the decrease in adjusted operating margin for the quarter as compared to the prior year.</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EBITDA was $226 million (adjusted EBITDA margin of 16.6%) during the second quarter of 2022, a decrease of $8 million, or 3.4%, when compared to adjusted EBITDA of $234 million (adjusted EBITDA margin of 17.3%) during the comparable quarter in the prior year. The decrease in adjusted EBITDA margin was primarily due to the same factors impacting operating margin noted above.</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Adjusted EBITDA for the six months ended June 30, 2022 was $407 million (adjusted EBITDA margin of 15.4%), a decrease of $42 million, or 9.4%, when compared to adjusted EBITDA of $449 million (adjusted EBITDA margin of 17.2%) during the comparable period in prior year. The decrease in adjusted EBITDA margin was primarily due to the same factors impacting operating margin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5" w:name="page46"/>
    <w:bookmarkEnd w:id="45"/>
    <w:p>
      <w:pPr>
        <w:ind w:right="200"/>
        <w:spacing w:after="0" w:line="279" w:lineRule="auto"/>
        <w:rPr>
          <w:sz w:val="20"/>
          <w:szCs w:val="20"/>
          <w:color w:val="auto"/>
        </w:rPr>
      </w:pPr>
      <w:r>
        <w:rPr>
          <w:rFonts w:ascii="Arial" w:cs="Arial" w:eastAsia="Arial" w:hAnsi="Arial"/>
          <w:sz w:val="18"/>
          <w:szCs w:val="18"/>
          <w:color w:val="auto"/>
        </w:rPr>
        <w:t>The table below provides a reconciliation of the total and each segment's operating income to adjusted operating income, and a calculation of the corresponding adjusted operating margin: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4"/>
          </w:tcPr>
          <w:p>
            <w:pPr>
              <w:ind w:left="4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r>
      <w:tr>
        <w:trPr>
          <w:trHeight w:val="197"/>
        </w:trPr>
        <w:tc>
          <w:tcPr>
            <w:tcW w:w="38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7"/>
                <w:szCs w:val="17"/>
                <w:color w:val="auto"/>
              </w:rPr>
            </w:pPr>
          </w:p>
        </w:tc>
        <w:tc>
          <w:tcPr>
            <w:tcW w:w="820" w:type="dxa"/>
            <w:vAlign w:val="bottom"/>
          </w:tcPr>
          <w:p>
            <w:pPr>
              <w:jc w:val="right"/>
              <w:ind w:right="2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ind w:left="12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color w:val="auto"/>
              </w:rPr>
              <w:t>Change</w:t>
            </w:r>
          </w:p>
        </w:tc>
        <w:tc>
          <w:tcPr>
            <w:tcW w:w="240" w:type="dxa"/>
            <w:vAlign w:val="bottom"/>
          </w:tcPr>
          <w:p>
            <w:pPr>
              <w:spacing w:after="0"/>
              <w:rPr>
                <w:sz w:val="17"/>
                <w:szCs w:val="17"/>
                <w:color w:val="auto"/>
              </w:rPr>
            </w:pPr>
          </w:p>
        </w:tc>
        <w:tc>
          <w:tcPr>
            <w:tcW w:w="840" w:type="dxa"/>
            <w:vAlign w:val="bottom"/>
          </w:tcPr>
          <w:p>
            <w:pPr>
              <w:jc w:val="right"/>
              <w:ind w:right="2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11"/>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310"/>
              <w:spacing w:after="0"/>
              <w:rPr>
                <w:sz w:val="20"/>
                <w:szCs w:val="20"/>
                <w:color w:val="auto"/>
              </w:rPr>
            </w:pPr>
            <w:r>
              <w:rPr>
                <w:rFonts w:ascii="Arial" w:cs="Arial" w:eastAsia="Arial" w:hAnsi="Arial"/>
                <w:sz w:val="14"/>
                <w:szCs w:val="14"/>
                <w:color w:val="auto"/>
              </w:rPr>
              <w:t>Change</w:t>
            </w:r>
          </w:p>
        </w:tc>
      </w:tr>
      <w:tr>
        <w:trPr>
          <w:trHeight w:val="211"/>
        </w:trPr>
        <w:tc>
          <w:tcPr>
            <w:tcW w:w="38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Water Infrastructure</w:t>
            </w: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r>
      <w:tr>
        <w:trPr>
          <w:trHeight w:val="230"/>
        </w:trPr>
        <w:tc>
          <w:tcPr>
            <w:tcW w:w="384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51"/>
              <w:spacing w:after="0"/>
              <w:rPr>
                <w:sz w:val="20"/>
                <w:szCs w:val="20"/>
                <w:color w:val="auto"/>
              </w:rPr>
            </w:pPr>
            <w:r>
              <w:rPr>
                <w:rFonts w:ascii="Arial" w:cs="Arial" w:eastAsia="Arial" w:hAnsi="Arial"/>
                <w:sz w:val="18"/>
                <w:szCs w:val="18"/>
                <w:b w:val="1"/>
                <w:bCs w:val="1"/>
                <w:color w:val="auto"/>
              </w:rPr>
              <w:t>108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16.1 %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r>
      <w:tr>
        <w:trPr>
          <w:trHeight w:val="229"/>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18.3 %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200 bp</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100</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29"/>
        </w:trPr>
        <w:tc>
          <w:tcPr>
            <w:tcW w:w="38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Restructuring and realignment costs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ind w:right="171"/>
              <w:spacing w:after="0"/>
              <w:rPr>
                <w:sz w:val="20"/>
                <w:szCs w:val="20"/>
                <w:color w:val="auto"/>
              </w:rPr>
            </w:pPr>
            <w:r>
              <w:rPr>
                <w:rFonts w:ascii="Arial" w:cs="Arial" w:eastAsia="Arial" w:hAnsi="Arial"/>
                <w:sz w:val="18"/>
                <w:szCs w:val="18"/>
                <w:color w:val="auto"/>
              </w:rPr>
              <w:t>(25.0)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gridSpan w:val="2"/>
          </w:tcPr>
          <w:p>
            <w:pPr>
              <w:jc w:val="right"/>
              <w:ind w:right="170"/>
              <w:spacing w:after="0"/>
              <w:rPr>
                <w:sz w:val="20"/>
                <w:szCs w:val="20"/>
                <w:color w:val="auto"/>
              </w:rPr>
            </w:pPr>
            <w:r>
              <w:rPr>
                <w:rFonts w:ascii="Arial" w:cs="Arial" w:eastAsia="Arial" w:hAnsi="Arial"/>
                <w:sz w:val="18"/>
                <w:szCs w:val="18"/>
                <w:color w:val="auto"/>
              </w:rPr>
              <w:t>(55.6) %</w:t>
            </w:r>
          </w:p>
        </w:tc>
      </w:tr>
      <w:tr>
        <w:trPr>
          <w:trHeight w:val="223"/>
        </w:trPr>
        <w:tc>
          <w:tcPr>
            <w:tcW w:w="3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r>
      <w:tr>
        <w:trPr>
          <w:trHeight w:val="229"/>
        </w:trPr>
        <w:tc>
          <w:tcPr>
            <w:tcW w:w="3840" w:type="dxa"/>
            <w:vAlign w:val="bottom"/>
          </w:tcPr>
          <w:p>
            <w:pPr>
              <w:ind w:left="640"/>
              <w:spacing w:after="0"/>
              <w:rPr>
                <w:sz w:val="20"/>
                <w:szCs w:val="20"/>
                <w:color w:val="auto"/>
              </w:rPr>
            </w:pPr>
            <w:r>
              <w:rPr>
                <w:rFonts w:ascii="Arial" w:cs="Arial" w:eastAsia="Arial" w:hAnsi="Arial"/>
                <w:sz w:val="18"/>
                <w:szCs w:val="18"/>
                <w:color w:val="auto"/>
              </w:rPr>
              <w:t>Adjusted operating margin</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18.8 %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17.0 %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180 bp</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16.6 %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16.0 %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i w:val="1"/>
                <w:iCs w:val="1"/>
                <w:color w:val="auto"/>
              </w:rPr>
              <w:t>60</w:t>
            </w:r>
          </w:p>
        </w:tc>
        <w:tc>
          <w:tcPr>
            <w:tcW w:w="440" w:type="dxa"/>
            <w:vAlign w:val="bottom"/>
          </w:tcPr>
          <w:p>
            <w:pPr>
              <w:jc w:val="right"/>
              <w:ind w:right="130"/>
              <w:spacing w:after="0"/>
              <w:rPr>
                <w:sz w:val="20"/>
                <w:szCs w:val="20"/>
                <w:color w:val="auto"/>
              </w:rPr>
            </w:pPr>
            <w:r>
              <w:rPr>
                <w:rFonts w:ascii="Arial" w:cs="Arial" w:eastAsia="Arial" w:hAnsi="Arial"/>
                <w:sz w:val="18"/>
                <w:szCs w:val="18"/>
                <w:i w:val="1"/>
                <w:iCs w:val="1"/>
                <w:color w:val="auto"/>
                <w:w w:val="99"/>
              </w:rPr>
              <w:t>bp</w:t>
            </w:r>
          </w:p>
        </w:tc>
      </w:tr>
      <w:tr>
        <w:trPr>
          <w:trHeight w:val="230"/>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Applied Water</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29"/>
        </w:trPr>
        <w:tc>
          <w:tcPr>
            <w:tcW w:w="384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51"/>
              <w:spacing w:after="0"/>
              <w:rPr>
                <w:sz w:val="20"/>
                <w:szCs w:val="20"/>
                <w:color w:val="auto"/>
              </w:rPr>
            </w:pPr>
            <w:r>
              <w:rPr>
                <w:rFonts w:ascii="Arial" w:cs="Arial" w:eastAsia="Arial" w:hAnsi="Arial"/>
                <w:sz w:val="18"/>
                <w:szCs w:val="18"/>
                <w:b w:val="1"/>
                <w:bCs w:val="1"/>
                <w:color w:val="auto"/>
              </w:rPr>
              <w:t>61</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120</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(7.7) %</w:t>
            </w:r>
          </w:p>
        </w:tc>
      </w:tr>
      <w:tr>
        <w:trPr>
          <w:trHeight w:val="229"/>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(130) bp</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(200) bp</w:t>
            </w:r>
          </w:p>
        </w:tc>
      </w:tr>
      <w:tr>
        <w:trPr>
          <w:trHeight w:val="230"/>
        </w:trPr>
        <w:tc>
          <w:tcPr>
            <w:tcW w:w="3840" w:type="dxa"/>
            <w:vAlign w:val="bottom"/>
          </w:tcPr>
          <w:p>
            <w:pPr>
              <w:ind w:left="520"/>
              <w:spacing w:after="0"/>
              <w:rPr>
                <w:sz w:val="20"/>
                <w:szCs w:val="20"/>
                <w:color w:val="auto"/>
              </w:rPr>
            </w:pPr>
            <w:r>
              <w:rPr>
                <w:rFonts w:ascii="Arial" w:cs="Arial" w:eastAsia="Arial" w:hAnsi="Arial"/>
                <w:sz w:val="18"/>
                <w:szCs w:val="18"/>
                <w:color w:val="auto"/>
              </w:rPr>
              <w:t>Restructuring and realignment costs</w:t>
            </w:r>
          </w:p>
        </w:tc>
        <w:tc>
          <w:tcPr>
            <w:tcW w:w="240" w:type="dxa"/>
            <w:vAlign w:val="bottom"/>
          </w:tcPr>
          <w:p>
            <w:pPr>
              <w:spacing w:after="0"/>
              <w:rPr>
                <w:sz w:val="19"/>
                <w:szCs w:val="19"/>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 %</w:t>
            </w:r>
          </w:p>
        </w:tc>
      </w:tr>
      <w:tr>
        <w:trPr>
          <w:trHeight w:val="229"/>
        </w:trPr>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NM</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40" w:type="dxa"/>
            <w:vAlign w:val="bottom"/>
            <w:shd w:val="clear" w:color="auto" w:fill="CCEEFF"/>
          </w:tcPr>
          <w:p>
            <w:pPr>
              <w:spacing w:after="0"/>
              <w:rPr>
                <w:sz w:val="19"/>
                <w:szCs w:val="19"/>
                <w:color w:val="auto"/>
              </w:rPr>
            </w:pPr>
          </w:p>
        </w:tc>
      </w:tr>
      <w:tr>
        <w:trPr>
          <w:trHeight w:val="223"/>
        </w:trPr>
        <w:tc>
          <w:tcPr>
            <w:tcW w:w="384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123</w:t>
            </w:r>
          </w:p>
        </w:tc>
        <w:tc>
          <w:tcPr>
            <w:tcW w:w="100" w:type="dxa"/>
            <w:vAlign w:val="bottom"/>
          </w:tcPr>
          <w:p>
            <w:pPr>
              <w:spacing w:after="0"/>
              <w:rPr>
                <w:sz w:val="19"/>
                <w:szCs w:val="19"/>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(8.2) %</w:t>
            </w:r>
          </w:p>
        </w:tc>
      </w:tr>
      <w:tr>
        <w:trPr>
          <w:trHeight w:val="229"/>
        </w:trPr>
        <w:tc>
          <w:tcPr>
            <w:tcW w:w="3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(120) bp</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(220) bp</w:t>
            </w: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b w:val="1"/>
                <w:bCs w:val="1"/>
                <w:color w:val="auto"/>
              </w:rPr>
              <w:t>Measurement &amp; Control Solutions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(5)</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(138.5)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r>
      <w:tr>
        <w:trPr>
          <w:trHeight w:val="229"/>
        </w:trPr>
        <w:tc>
          <w:tcPr>
            <w:tcW w:w="3840" w:type="dxa"/>
            <w:vAlign w:val="bottom"/>
          </w:tcPr>
          <w:p>
            <w:pPr>
              <w:ind w:left="360"/>
              <w:spacing w:after="0"/>
              <w:rPr>
                <w:sz w:val="20"/>
                <w:szCs w:val="20"/>
                <w:color w:val="auto"/>
              </w:rPr>
            </w:pPr>
            <w:r>
              <w:rPr>
                <w:rFonts w:ascii="Arial" w:cs="Arial" w:eastAsia="Arial" w:hAnsi="Arial"/>
                <w:sz w:val="18"/>
                <w:szCs w:val="18"/>
                <w:color w:val="auto"/>
              </w:rPr>
              <w:t>Operating margin</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3.5 %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(490) bp</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3.0 %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(530) bp</w:t>
            </w:r>
          </w:p>
        </w:tc>
      </w:tr>
      <w:tr>
        <w:trPr>
          <w:trHeight w:val="230"/>
        </w:trPr>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Restructuring and realignment costs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NM</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r>
      <w:tr>
        <w:trPr>
          <w:trHeight w:val="229"/>
        </w:trPr>
        <w:tc>
          <w:tcPr>
            <w:tcW w:w="3840" w:type="dxa"/>
            <w:vAlign w:val="bottom"/>
          </w:tcPr>
          <w:p>
            <w:pPr>
              <w:ind w:left="520"/>
              <w:spacing w:after="0"/>
              <w:rPr>
                <w:sz w:val="20"/>
                <w:szCs w:val="20"/>
                <w:color w:val="auto"/>
              </w:rPr>
            </w:pPr>
            <w:r>
              <w:rPr>
                <w:rFonts w:ascii="Arial" w:cs="Arial" w:eastAsia="Arial" w:hAnsi="Arial"/>
                <w:sz w:val="18"/>
                <w:szCs w:val="18"/>
                <w:color w:val="auto"/>
              </w:rPr>
              <w:t>Special charges</w:t>
            </w:r>
          </w:p>
        </w:tc>
        <w:tc>
          <w:tcPr>
            <w:tcW w:w="240" w:type="dxa"/>
            <w:vAlign w:val="bottom"/>
          </w:tcPr>
          <w:p>
            <w:pPr>
              <w:spacing w:after="0"/>
              <w:rPr>
                <w:sz w:val="19"/>
                <w:szCs w:val="19"/>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19"/>
                <w:szCs w:val="19"/>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NM</w:t>
            </w:r>
          </w:p>
        </w:tc>
        <w:tc>
          <w:tcPr>
            <w:tcW w:w="440" w:type="dxa"/>
            <w:vAlign w:val="bottom"/>
          </w:tcPr>
          <w:p>
            <w:pPr>
              <w:spacing w:after="0"/>
              <w:rPr>
                <w:sz w:val="19"/>
                <w:szCs w:val="19"/>
                <w:color w:val="auto"/>
              </w:rPr>
            </w:pPr>
          </w:p>
        </w:tc>
      </w:tr>
      <w:tr>
        <w:trPr>
          <w:trHeight w:val="223"/>
        </w:trPr>
        <w:tc>
          <w:tcPr>
            <w:tcW w:w="38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Adjusted operating (loss) income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(107.7)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44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r>
      <w:tr>
        <w:trPr>
          <w:trHeight w:val="229"/>
        </w:trPr>
        <w:tc>
          <w:tcPr>
            <w:tcW w:w="3840" w:type="dxa"/>
            <w:vAlign w:val="bottom"/>
          </w:tcPr>
          <w:p>
            <w:pPr>
              <w:ind w:left="640"/>
              <w:spacing w:after="0"/>
              <w:rPr>
                <w:sz w:val="20"/>
                <w:szCs w:val="20"/>
                <w:color w:val="auto"/>
              </w:rPr>
            </w:pPr>
            <w:r>
              <w:rPr>
                <w:rFonts w:ascii="Arial" w:cs="Arial" w:eastAsia="Arial" w:hAnsi="Arial"/>
                <w:sz w:val="18"/>
                <w:szCs w:val="18"/>
                <w:color w:val="auto"/>
              </w:rPr>
              <w:t>Adjusted operating margin</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3.5 %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(380) bp</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3.3 %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(470) bp</w:t>
            </w:r>
          </w:p>
        </w:tc>
      </w:tr>
      <w:tr>
        <w:trPr>
          <w:trHeight w:val="230"/>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Corporate and other</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29"/>
        </w:trPr>
        <w:tc>
          <w:tcPr>
            <w:tcW w:w="3840" w:type="dxa"/>
            <w:vAlign w:val="bottom"/>
          </w:tcPr>
          <w:p>
            <w:pPr>
              <w:ind w:left="360"/>
              <w:spacing w:after="0"/>
              <w:rPr>
                <w:sz w:val="20"/>
                <w:szCs w:val="20"/>
                <w:color w:val="auto"/>
              </w:rPr>
            </w:pPr>
            <w:r>
              <w:rPr>
                <w:rFonts w:ascii="Arial" w:cs="Arial" w:eastAsia="Arial" w:hAnsi="Arial"/>
                <w:sz w:val="18"/>
                <w:szCs w:val="18"/>
                <w:color w:val="auto"/>
              </w:rPr>
              <w:t>Operating loss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11"/>
              <w:spacing w:after="0"/>
              <w:rPr>
                <w:sz w:val="20"/>
                <w:szCs w:val="20"/>
                <w:color w:val="auto"/>
              </w:rPr>
            </w:pPr>
            <w:r>
              <w:rPr>
                <w:rFonts w:ascii="Arial" w:cs="Arial" w:eastAsia="Arial" w:hAnsi="Arial"/>
                <w:sz w:val="18"/>
                <w:szCs w:val="18"/>
                <w:b w:val="1"/>
                <w:bCs w:val="1"/>
                <w:color w:val="auto"/>
              </w:rPr>
              <w:t>(18)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(80.0)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11"/>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NM</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 %</w:t>
            </w:r>
          </w:p>
        </w:tc>
      </w:tr>
      <w:tr>
        <w:trPr>
          <w:trHeight w:val="223"/>
        </w:trPr>
        <w:tc>
          <w:tcPr>
            <w:tcW w:w="3840" w:type="dxa"/>
            <w:vAlign w:val="bottom"/>
          </w:tcPr>
          <w:p>
            <w:pPr>
              <w:ind w:left="680"/>
              <w:spacing w:after="0"/>
              <w:rPr>
                <w:sz w:val="20"/>
                <w:szCs w:val="20"/>
                <w:color w:val="auto"/>
              </w:rPr>
            </w:pPr>
            <w:r>
              <w:rPr>
                <w:rFonts w:ascii="Arial" w:cs="Arial" w:eastAsia="Arial" w:hAnsi="Arial"/>
                <w:sz w:val="18"/>
                <w:szCs w:val="18"/>
                <w:color w:val="auto"/>
              </w:rPr>
              <w:t>Adjusted operating loss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80.0 %</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9"/>
                <w:szCs w:val="19"/>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r>
      <w:tr>
        <w:trPr>
          <w:trHeight w:val="230"/>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Xylem</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30"/>
        </w:trPr>
        <w:tc>
          <w:tcPr>
            <w:tcW w:w="384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51"/>
              <w:spacing w:after="0"/>
              <w:rPr>
                <w:sz w:val="20"/>
                <w:szCs w:val="20"/>
                <w:color w:val="auto"/>
              </w:rPr>
            </w:pPr>
            <w:r>
              <w:rPr>
                <w:rFonts w:ascii="Arial" w:cs="Arial" w:eastAsia="Arial" w:hAnsi="Arial"/>
                <w:sz w:val="18"/>
                <w:szCs w:val="18"/>
                <w:b w:val="1"/>
                <w:bCs w:val="1"/>
                <w:color w:val="auto"/>
              </w:rPr>
              <w:t>146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257</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(12.3) %</w:t>
            </w:r>
          </w:p>
        </w:tc>
      </w:tr>
      <w:tr>
        <w:trPr>
          <w:trHeight w:val="230"/>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(110) bp</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(150) bp</w:t>
            </w:r>
          </w:p>
        </w:tc>
      </w:tr>
      <w:tr>
        <w:trPr>
          <w:trHeight w:val="229"/>
        </w:trPr>
        <w:tc>
          <w:tcPr>
            <w:tcW w:w="3840" w:type="dxa"/>
            <w:vAlign w:val="bottom"/>
          </w:tcPr>
          <w:p>
            <w:pPr>
              <w:ind w:left="520"/>
              <w:spacing w:after="0"/>
              <w:rPr>
                <w:sz w:val="20"/>
                <w:szCs w:val="20"/>
                <w:color w:val="auto"/>
              </w:rPr>
            </w:pPr>
            <w:r>
              <w:rPr>
                <w:rFonts w:ascii="Arial" w:cs="Arial" w:eastAsia="Arial" w:hAnsi="Arial"/>
                <w:sz w:val="18"/>
                <w:szCs w:val="18"/>
                <w:color w:val="auto"/>
              </w:rPr>
              <w:t>Restructuring and realignment costs</w:t>
            </w:r>
          </w:p>
        </w:tc>
        <w:tc>
          <w:tcPr>
            <w:tcW w:w="240" w:type="dxa"/>
            <w:vAlign w:val="bottom"/>
          </w:tcPr>
          <w:p>
            <w:pPr>
              <w:spacing w:after="0"/>
              <w:rPr>
                <w:sz w:val="19"/>
                <w:szCs w:val="19"/>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33.3 %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51"/>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(14.3) %</w:t>
            </w:r>
          </w:p>
        </w:tc>
      </w:tr>
      <w:tr>
        <w:trPr>
          <w:trHeight w:val="230"/>
        </w:trPr>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Special charges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 %</w:t>
            </w:r>
          </w:p>
        </w:tc>
      </w:tr>
      <w:tr>
        <w:trPr>
          <w:trHeight w:val="223"/>
        </w:trPr>
        <w:tc>
          <w:tcPr>
            <w:tcW w:w="3840" w:type="dxa"/>
            <w:vAlign w:val="bottom"/>
          </w:tcPr>
          <w:p>
            <w:pPr>
              <w:ind w:left="640"/>
              <w:spacing w:after="0"/>
              <w:rPr>
                <w:sz w:val="20"/>
                <w:szCs w:val="20"/>
                <w:color w:val="auto"/>
              </w:rPr>
            </w:pPr>
            <w:r>
              <w:rPr>
                <w:rFonts w:ascii="Arial" w:cs="Arial" w:eastAsia="Arial" w:hAnsi="Arial"/>
                <w:sz w:val="18"/>
                <w:szCs w:val="18"/>
                <w:color w:val="auto"/>
              </w:rPr>
              <w:t>Adjusted operating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155</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271</w:t>
            </w:r>
          </w:p>
        </w:tc>
        <w:tc>
          <w:tcPr>
            <w:tcW w:w="100" w:type="dxa"/>
            <w:vAlign w:val="bottom"/>
          </w:tcPr>
          <w:p>
            <w:pPr>
              <w:spacing w:after="0"/>
              <w:rPr>
                <w:sz w:val="19"/>
                <w:szCs w:val="19"/>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70"/>
              <w:spacing w:after="0"/>
              <w:rPr>
                <w:sz w:val="20"/>
                <w:szCs w:val="20"/>
                <w:color w:val="auto"/>
              </w:rPr>
            </w:pPr>
            <w:r>
              <w:rPr>
                <w:rFonts w:ascii="Arial" w:cs="Arial" w:eastAsia="Arial" w:hAnsi="Arial"/>
                <w:sz w:val="18"/>
                <w:szCs w:val="18"/>
                <w:color w:val="auto"/>
              </w:rPr>
              <w:t>(12.3) %</w:t>
            </w:r>
          </w:p>
        </w:tc>
      </w:tr>
      <w:tr>
        <w:trPr>
          <w:trHeight w:val="230"/>
        </w:trPr>
        <w:tc>
          <w:tcPr>
            <w:tcW w:w="3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Adjusted operating margin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(90) bp</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(160) bp</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percentage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The table below provides a reconciliation of total and each segment's adjusted EBITDA to consolidated EBITDA and net income:</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2880" w:type="dxa"/>
            <w:vAlign w:val="bottom"/>
          </w:tcPr>
          <w:p>
            <w:pPr>
              <w:spacing w:after="0"/>
              <w:rPr>
                <w:sz w:val="19"/>
                <w:szCs w:val="19"/>
                <w:color w:val="auto"/>
              </w:rPr>
            </w:pPr>
          </w:p>
        </w:tc>
        <w:tc>
          <w:tcPr>
            <w:tcW w:w="3520" w:type="dxa"/>
            <w:vAlign w:val="bottom"/>
            <w:gridSpan w:val="2"/>
          </w:tcPr>
          <w:p>
            <w:pPr>
              <w:jc w:val="center"/>
              <w:ind w:left="1570"/>
              <w:spacing w:after="0"/>
              <w:rPr>
                <w:sz w:val="20"/>
                <w:szCs w:val="20"/>
                <w:color w:val="auto"/>
              </w:rPr>
            </w:pPr>
            <w:r>
              <w:rPr>
                <w:rFonts w:ascii="Arial" w:cs="Arial" w:eastAsia="Arial" w:hAnsi="Arial"/>
                <w:sz w:val="18"/>
                <w:szCs w:val="18"/>
                <w:b w:val="1"/>
                <w:bCs w:val="1"/>
                <w:color w:val="auto"/>
                <w:w w:val="99"/>
              </w:rPr>
              <w:t>Three Months Ended</w:t>
            </w:r>
          </w:p>
        </w:tc>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8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June 30, 2022</w:t>
            </w:r>
          </w:p>
        </w:tc>
        <w:tc>
          <w:tcPr>
            <w:tcW w:w="18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tcPr>
          <w:p>
            <w:pPr>
              <w:spacing w:after="0"/>
              <w:rPr>
                <w:sz w:val="21"/>
                <w:szCs w:val="21"/>
                <w:color w:val="auto"/>
              </w:rPr>
            </w:pPr>
          </w:p>
        </w:tc>
        <w:tc>
          <w:tcPr>
            <w:tcW w:w="1860" w:type="dxa"/>
            <w:vAlign w:val="bottom"/>
            <w:tcBorders>
              <w:bottom w:val="single" w:sz="8" w:color="CCEEFF"/>
            </w:tcBorders>
          </w:tcPr>
          <w:p>
            <w:pPr>
              <w:spacing w:after="0"/>
              <w:rPr>
                <w:sz w:val="21"/>
                <w:szCs w:val="21"/>
                <w:color w:val="auto"/>
              </w:rPr>
            </w:pPr>
          </w:p>
        </w:tc>
        <w:tc>
          <w:tcPr>
            <w:tcW w:w="1660" w:type="dxa"/>
            <w:vAlign w:val="bottom"/>
            <w:tcBorders>
              <w:bottom w:val="single" w:sz="8" w:color="CCEEFF"/>
            </w:tcBorders>
          </w:tcPr>
          <w:p>
            <w:pPr>
              <w:spacing w:after="0"/>
              <w:rPr>
                <w:sz w:val="21"/>
                <w:szCs w:val="21"/>
                <w:color w:val="auto"/>
              </w:rPr>
            </w:pPr>
          </w:p>
        </w:tc>
        <w:tc>
          <w:tcPr>
            <w:tcW w:w="18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Net Income margin</w:t>
            </w:r>
          </w:p>
        </w:tc>
        <w:tc>
          <w:tcPr>
            <w:tcW w:w="18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8.2 %</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18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880" w:type="dxa"/>
            <w:vAlign w:val="bottom"/>
          </w:tcPr>
          <w:p>
            <w:pPr>
              <w:ind w:left="240"/>
              <w:spacing w:after="0"/>
              <w:rPr>
                <w:sz w:val="20"/>
                <w:szCs w:val="20"/>
                <w:color w:val="auto"/>
              </w:rPr>
            </w:pPr>
            <w:r>
              <w:rPr>
                <w:rFonts w:ascii="Arial" w:cs="Arial" w:eastAsia="Arial" w:hAnsi="Arial"/>
                <w:sz w:val="18"/>
                <w:szCs w:val="18"/>
                <w:color w:val="auto"/>
              </w:rPr>
              <w:t>Amortization</w:t>
            </w:r>
          </w:p>
        </w:tc>
        <w:tc>
          <w:tcPr>
            <w:tcW w:w="18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w:t>
            </w:r>
          </w:p>
        </w:tc>
        <w:tc>
          <w:tcPr>
            <w:tcW w:w="18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expense</w:t>
            </w:r>
          </w:p>
        </w:tc>
        <w:tc>
          <w:tcPr>
            <w:tcW w:w="186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8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0" w:type="dxa"/>
            <w:vAlign w:val="bottom"/>
          </w:tcPr>
          <w:p>
            <w:pPr>
              <w:spacing w:after="0"/>
              <w:rPr>
                <w:sz w:val="1"/>
                <w:szCs w:val="1"/>
                <w:color w:val="auto"/>
              </w:rPr>
            </w:pPr>
          </w:p>
        </w:tc>
      </w:tr>
      <w:tr>
        <w:trPr>
          <w:trHeight w:val="184"/>
        </w:trPr>
        <w:tc>
          <w:tcPr>
            <w:tcW w:w="2880" w:type="dxa"/>
            <w:vAlign w:val="bottom"/>
          </w:tcPr>
          <w:p>
            <w:pPr>
              <w:spacing w:after="0"/>
              <w:rPr>
                <w:sz w:val="15"/>
                <w:szCs w:val="15"/>
                <w:color w:val="auto"/>
              </w:rPr>
            </w:pPr>
          </w:p>
        </w:tc>
        <w:tc>
          <w:tcPr>
            <w:tcW w:w="18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Water Infrastructure</w:t>
            </w:r>
          </w:p>
        </w:tc>
        <w:tc>
          <w:tcPr>
            <w:tcW w:w="166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rPr>
              <w:t>Applied Water</w:t>
            </w:r>
          </w:p>
        </w:tc>
        <w:tc>
          <w:tcPr>
            <w:tcW w:w="1820" w:type="dxa"/>
            <w:vAlign w:val="bottom"/>
          </w:tcPr>
          <w:p>
            <w:pPr>
              <w:jc w:val="right"/>
              <w:ind w:right="270"/>
              <w:spacing w:after="0" w:line="183" w:lineRule="exact"/>
              <w:rPr>
                <w:sz w:val="20"/>
                <w:szCs w:val="20"/>
                <w:color w:val="auto"/>
              </w:rPr>
            </w:pPr>
            <w:r>
              <w:rPr>
                <w:rFonts w:ascii="Arial" w:cs="Arial" w:eastAsia="Arial" w:hAnsi="Arial"/>
                <w:sz w:val="18"/>
                <w:szCs w:val="18"/>
                <w:b w:val="1"/>
                <w:bCs w:val="1"/>
                <w:color w:val="auto"/>
              </w:rPr>
              <w:t>Measurement &amp;</w:t>
            </w: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Other*</w:t>
            </w:r>
          </w:p>
        </w:tc>
        <w:tc>
          <w:tcPr>
            <w:tcW w:w="440" w:type="dxa"/>
            <w:vAlign w:val="bottom"/>
          </w:tcPr>
          <w:p>
            <w:pPr>
              <w:spacing w:after="0"/>
              <w:rPr>
                <w:sz w:val="15"/>
                <w:szCs w:val="15"/>
                <w:color w:val="auto"/>
              </w:rPr>
            </w:pPr>
          </w:p>
        </w:tc>
        <w:tc>
          <w:tcPr>
            <w:tcW w:w="148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2880" w:type="dxa"/>
            <w:vAlign w:val="bottom"/>
          </w:tcPr>
          <w:p>
            <w:pPr>
              <w:spacing w:after="0"/>
              <w:rPr>
                <w:sz w:val="20"/>
                <w:szCs w:val="20"/>
                <w:color w:val="auto"/>
              </w:rPr>
            </w:pPr>
          </w:p>
        </w:tc>
        <w:tc>
          <w:tcPr>
            <w:tcW w:w="1860" w:type="dxa"/>
            <w:vAlign w:val="bottom"/>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1820" w:type="dxa"/>
            <w:vAlign w:val="bottom"/>
          </w:tcPr>
          <w:p>
            <w:pPr>
              <w:jc w:val="right"/>
              <w:ind w:right="170"/>
              <w:spacing w:after="0"/>
              <w:rPr>
                <w:sz w:val="20"/>
                <w:szCs w:val="20"/>
                <w:color w:val="auto"/>
              </w:rPr>
            </w:pPr>
            <w:r>
              <w:rPr>
                <w:rFonts w:ascii="Arial" w:cs="Arial" w:eastAsia="Arial" w:hAnsi="Arial"/>
                <w:sz w:val="18"/>
                <w:szCs w:val="18"/>
                <w:b w:val="1"/>
                <w:bCs w:val="1"/>
                <w:color w:val="auto"/>
              </w:rPr>
              <w:t>Control Solutions</w:t>
            </w:r>
          </w:p>
        </w:tc>
        <w:tc>
          <w:tcPr>
            <w:tcW w:w="7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$66</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0" w:type="dxa"/>
            <w:vAlign w:val="bottom"/>
          </w:tcPr>
          <w:p>
            <w:pPr>
              <w:spacing w:after="0"/>
              <w:rPr>
                <w:sz w:val="1"/>
                <w:szCs w:val="1"/>
                <w:color w:val="auto"/>
              </w:rPr>
            </w:pPr>
          </w:p>
        </w:tc>
      </w:tr>
      <w:tr>
        <w:trPr>
          <w:trHeight w:val="229"/>
        </w:trPr>
        <w:tc>
          <w:tcPr>
            <w:tcW w:w="2880" w:type="dxa"/>
            <w:vAlign w:val="bottom"/>
          </w:tcPr>
          <w:p>
            <w:pPr>
              <w:ind w:left="140"/>
              <w:spacing w:after="0"/>
              <w:rPr>
                <w:sz w:val="20"/>
                <w:szCs w:val="20"/>
                <w:color w:val="auto"/>
              </w:rPr>
            </w:pPr>
            <w:r>
              <w:rPr>
                <w:rFonts w:ascii="Arial" w:cs="Arial" w:eastAsia="Arial" w:hAnsi="Arial"/>
                <w:sz w:val="18"/>
                <w:szCs w:val="18"/>
                <w:color w:val="auto"/>
              </w:rPr>
              <w:t>Restructuring and realignment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Special charges</w:t>
            </w: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w:t>
            </w:r>
          </w:p>
        </w:tc>
        <w:tc>
          <w:tcPr>
            <w:tcW w:w="1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$69</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i w:val="1"/>
                <w:iCs w:val="1"/>
                <w:color w:val="auto"/>
              </w:rPr>
              <w:t>21.4 %</w:t>
            </w: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i w:val="1"/>
                <w:iCs w:val="1"/>
                <w:color w:val="auto"/>
              </w:rPr>
              <w:t>16.1 %</w:t>
            </w:r>
          </w:p>
        </w:tc>
        <w:tc>
          <w:tcPr>
            <w:tcW w:w="18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9.8 %</w:t>
            </w:r>
          </w:p>
        </w:tc>
        <w:tc>
          <w:tcPr>
            <w:tcW w:w="7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NM</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16.6 %</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Arial" w:cs="Arial" w:eastAsia="Arial" w:hAnsi="Arial"/>
          <w:sz w:val="16"/>
          <w:szCs w:val="16"/>
          <w:color w:val="auto"/>
        </w:rPr>
        <w:t>* Other includes Regional selling locations, corporate and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06" w:right="4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9"/>
        </w:trPr>
        <w:tc>
          <w:tcPr>
            <w:tcW w:w="2800" w:type="dxa"/>
            <w:vAlign w:val="bottom"/>
          </w:tcPr>
          <w:p>
            <w:pPr>
              <w:spacing w:after="0"/>
              <w:rPr>
                <w:sz w:val="19"/>
                <w:szCs w:val="19"/>
                <w:color w:val="auto"/>
              </w:rPr>
            </w:pPr>
          </w:p>
        </w:tc>
        <w:tc>
          <w:tcPr>
            <w:tcW w:w="3540" w:type="dxa"/>
            <w:vAlign w:val="bottom"/>
            <w:gridSpan w:val="2"/>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8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June 30, 2021</w:t>
            </w:r>
          </w:p>
        </w:tc>
        <w:tc>
          <w:tcPr>
            <w:tcW w:w="18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Net Income margin</w:t>
            </w:r>
          </w:p>
        </w:tc>
        <w:tc>
          <w:tcPr>
            <w:tcW w:w="1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8.4 %</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18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800" w:type="dxa"/>
            <w:vAlign w:val="bottom"/>
          </w:tcPr>
          <w:p>
            <w:pPr>
              <w:ind w:left="240"/>
              <w:spacing w:after="0"/>
              <w:rPr>
                <w:sz w:val="20"/>
                <w:szCs w:val="20"/>
                <w:color w:val="auto"/>
              </w:rPr>
            </w:pPr>
            <w:r>
              <w:rPr>
                <w:rFonts w:ascii="Arial" w:cs="Arial" w:eastAsia="Arial" w:hAnsi="Arial"/>
                <w:sz w:val="18"/>
                <w:szCs w:val="18"/>
                <w:color w:val="auto"/>
              </w:rPr>
              <w:t>Amortization</w:t>
            </w:r>
          </w:p>
        </w:tc>
        <w:tc>
          <w:tcPr>
            <w:tcW w:w="18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w:t>
            </w:r>
          </w:p>
        </w:tc>
        <w:tc>
          <w:tcPr>
            <w:tcW w:w="18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expense</w:t>
            </w:r>
          </w:p>
        </w:tc>
        <w:tc>
          <w:tcPr>
            <w:tcW w:w="18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8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0" w:type="dxa"/>
            <w:vAlign w:val="bottom"/>
          </w:tcPr>
          <w:p>
            <w:pPr>
              <w:spacing w:after="0"/>
              <w:rPr>
                <w:sz w:val="1"/>
                <w:szCs w:val="1"/>
                <w:color w:val="auto"/>
              </w:rPr>
            </w:pPr>
          </w:p>
        </w:tc>
      </w:tr>
      <w:tr>
        <w:trPr>
          <w:trHeight w:val="184"/>
        </w:trPr>
        <w:tc>
          <w:tcPr>
            <w:tcW w:w="2800" w:type="dxa"/>
            <w:vAlign w:val="bottom"/>
          </w:tcPr>
          <w:p>
            <w:pPr>
              <w:spacing w:after="0"/>
              <w:rPr>
                <w:sz w:val="15"/>
                <w:szCs w:val="15"/>
                <w:color w:val="auto"/>
              </w:rPr>
            </w:pPr>
          </w:p>
        </w:tc>
        <w:tc>
          <w:tcPr>
            <w:tcW w:w="18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Water Infrastructure</w:t>
            </w:r>
          </w:p>
        </w:tc>
        <w:tc>
          <w:tcPr>
            <w:tcW w:w="16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Applied Water</w:t>
            </w:r>
          </w:p>
        </w:tc>
        <w:tc>
          <w:tcPr>
            <w:tcW w:w="1800" w:type="dxa"/>
            <w:vAlign w:val="bottom"/>
          </w:tcPr>
          <w:p>
            <w:pPr>
              <w:jc w:val="right"/>
              <w:ind w:right="250"/>
              <w:spacing w:after="0" w:line="183" w:lineRule="exact"/>
              <w:rPr>
                <w:sz w:val="20"/>
                <w:szCs w:val="20"/>
                <w:color w:val="auto"/>
              </w:rPr>
            </w:pPr>
            <w:r>
              <w:rPr>
                <w:rFonts w:ascii="Arial" w:cs="Arial" w:eastAsia="Arial" w:hAnsi="Arial"/>
                <w:sz w:val="18"/>
                <w:szCs w:val="18"/>
                <w:b w:val="1"/>
                <w:bCs w:val="1"/>
                <w:color w:val="auto"/>
              </w:rPr>
              <w:t>Measurement &amp;</w:t>
            </w: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Other*</w:t>
            </w:r>
          </w:p>
        </w:tc>
        <w:tc>
          <w:tcPr>
            <w:tcW w:w="190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2800" w:type="dxa"/>
            <w:vAlign w:val="bottom"/>
          </w:tcPr>
          <w:p>
            <w:pPr>
              <w:spacing w:after="0"/>
              <w:rPr>
                <w:sz w:val="20"/>
                <w:szCs w:val="20"/>
                <w:color w:val="auto"/>
              </w:rPr>
            </w:pPr>
          </w:p>
        </w:tc>
        <w:tc>
          <w:tcPr>
            <w:tcW w:w="1880" w:type="dxa"/>
            <w:vAlign w:val="bottom"/>
            <w:vMerge w:val="continue"/>
          </w:tcPr>
          <w:p>
            <w:pPr>
              <w:spacing w:after="0"/>
              <w:rPr>
                <w:sz w:val="20"/>
                <w:szCs w:val="20"/>
                <w:color w:val="auto"/>
              </w:rPr>
            </w:pPr>
          </w:p>
        </w:tc>
        <w:tc>
          <w:tcPr>
            <w:tcW w:w="1660" w:type="dxa"/>
            <w:vAlign w:val="bottom"/>
            <w:vMerge w:val="continue"/>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rPr>
              <w:t>Control Solutions</w:t>
            </w:r>
          </w:p>
        </w:tc>
        <w:tc>
          <w:tcPr>
            <w:tcW w:w="800" w:type="dxa"/>
            <w:vAlign w:val="bottom"/>
            <w:vMerge w:val="continue"/>
          </w:tcPr>
          <w:p>
            <w:pPr>
              <w:spacing w:after="0"/>
              <w:rPr>
                <w:sz w:val="20"/>
                <w:szCs w:val="20"/>
                <w:color w:val="auto"/>
              </w:rPr>
            </w:pP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0" w:type="dxa"/>
            <w:vAlign w:val="bottom"/>
          </w:tcPr>
          <w:p>
            <w:pPr>
              <w:spacing w:after="0"/>
              <w:rPr>
                <w:sz w:val="1"/>
                <w:szCs w:val="1"/>
                <w:color w:val="auto"/>
              </w:rPr>
            </w:pPr>
          </w:p>
        </w:tc>
      </w:tr>
      <w:tr>
        <w:trPr>
          <w:trHeight w:val="229"/>
        </w:trPr>
        <w:tc>
          <w:tcPr>
            <w:tcW w:w="2800" w:type="dxa"/>
            <w:vAlign w:val="bottom"/>
          </w:tcPr>
          <w:p>
            <w:pPr>
              <w:ind w:left="140"/>
              <w:spacing w:after="0"/>
              <w:rPr>
                <w:sz w:val="20"/>
                <w:szCs w:val="20"/>
                <w:color w:val="auto"/>
              </w:rPr>
            </w:pPr>
            <w:r>
              <w:rPr>
                <w:rFonts w:ascii="Arial" w:cs="Arial" w:eastAsia="Arial" w:hAnsi="Arial"/>
                <w:sz w:val="18"/>
                <w:szCs w:val="18"/>
                <w:color w:val="auto"/>
              </w:rPr>
              <w:t>Restructuring and realignment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Special charges</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0</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from sale of business</w:t>
            </w:r>
          </w:p>
        </w:tc>
        <w:tc>
          <w:tcPr>
            <w:tcW w:w="1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880" w:type="dxa"/>
            <w:vAlign w:val="bottom"/>
          </w:tcPr>
          <w:p>
            <w:pPr>
              <w:jc w:val="right"/>
              <w:ind w:right="30"/>
              <w:spacing w:after="0"/>
              <w:rPr>
                <w:sz w:val="20"/>
                <w:szCs w:val="20"/>
                <w:color w:val="auto"/>
              </w:rPr>
            </w:pPr>
            <w:r>
              <w:rPr>
                <w:rFonts w:ascii="Arial" w:cs="Arial" w:eastAsia="Arial" w:hAnsi="Arial"/>
                <w:sz w:val="18"/>
                <w:szCs w:val="18"/>
                <w:b w:val="1"/>
                <w:bCs w:val="1"/>
                <w:color w:val="auto"/>
              </w:rPr>
              <w:t>$108</w:t>
            </w:r>
          </w:p>
        </w:tc>
        <w:tc>
          <w:tcPr>
            <w:tcW w:w="1660" w:type="dxa"/>
            <w:vAlign w:val="bottom"/>
          </w:tcPr>
          <w:p>
            <w:pPr>
              <w:jc w:val="right"/>
              <w:ind w:right="90"/>
              <w:spacing w:after="0"/>
              <w:rPr>
                <w:sz w:val="20"/>
                <w:szCs w:val="20"/>
                <w:color w:val="auto"/>
              </w:rPr>
            </w:pPr>
            <w:r>
              <w:rPr>
                <w:rFonts w:ascii="Arial" w:cs="Arial" w:eastAsia="Arial" w:hAnsi="Arial"/>
                <w:sz w:val="18"/>
                <w:szCs w:val="18"/>
                <w:b w:val="1"/>
                <w:bCs w:val="1"/>
                <w:color w:val="auto"/>
              </w:rPr>
              <w:t>$72</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$234</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i w:val="1"/>
                <w:iCs w:val="1"/>
                <w:color w:val="auto"/>
              </w:rPr>
              <w:t>19.0 %</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i w:val="1"/>
                <w:iCs w:val="1"/>
                <w:color w:val="auto"/>
              </w:rPr>
              <w:t>17.4 %</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13.9 %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NM</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17.3 %</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Other includes Regional selling locations, corporate and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-115570</wp:posOffset>
            </wp:positionV>
            <wp:extent cx="687514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75145" cy="13716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versus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0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Water Infrastructure</w:t>
            </w:r>
          </w:p>
        </w:tc>
        <w:tc>
          <w:tcPr>
            <w:tcW w:w="13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Applied Water</w:t>
            </w:r>
          </w:p>
        </w:tc>
        <w:tc>
          <w:tcPr>
            <w:tcW w:w="1980" w:type="dxa"/>
            <w:vAlign w:val="bottom"/>
            <w:tcBorders>
              <w:top w:val="single" w:sz="8" w:color="auto"/>
            </w:tcBorders>
          </w:tcPr>
          <w:p>
            <w:pPr>
              <w:jc w:val="right"/>
              <w:ind w:right="350"/>
              <w:spacing w:after="0" w:line="169" w:lineRule="exact"/>
              <w:rPr>
                <w:sz w:val="20"/>
                <w:szCs w:val="20"/>
                <w:color w:val="auto"/>
              </w:rPr>
            </w:pPr>
            <w:r>
              <w:rPr>
                <w:rFonts w:ascii="Arial" w:cs="Arial" w:eastAsia="Arial" w:hAnsi="Arial"/>
                <w:sz w:val="18"/>
                <w:szCs w:val="18"/>
                <w:b w:val="1"/>
                <w:bCs w:val="1"/>
                <w:color w:val="auto"/>
              </w:rPr>
              <w:t>Measurement &amp;</w:t>
            </w:r>
          </w:p>
        </w:tc>
        <w:tc>
          <w:tcPr>
            <w:tcW w:w="1320" w:type="dxa"/>
            <w:vAlign w:val="bottom"/>
            <w:tcBorders>
              <w:top w:val="single" w:sz="8" w:color="auto"/>
            </w:tcBorders>
            <w:vMerge w:val="restart"/>
          </w:tcPr>
          <w:p>
            <w:pPr>
              <w:jc w:val="right"/>
              <w:ind w:right="490"/>
              <w:spacing w:after="0"/>
              <w:rPr>
                <w:sz w:val="20"/>
                <w:szCs w:val="20"/>
                <w:color w:val="auto"/>
              </w:rPr>
            </w:pPr>
            <w:r>
              <w:rPr>
                <w:rFonts w:ascii="Arial" w:cs="Arial" w:eastAsia="Arial" w:hAnsi="Arial"/>
                <w:sz w:val="18"/>
                <w:szCs w:val="18"/>
                <w:b w:val="1"/>
                <w:bCs w:val="1"/>
                <w:color w:val="auto"/>
              </w:rPr>
              <w:t>Other*</w:t>
            </w:r>
          </w:p>
        </w:tc>
        <w:tc>
          <w:tcPr>
            <w:tcW w:w="108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186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b w:val="1"/>
                <w:bCs w:val="1"/>
                <w:color w:val="auto"/>
              </w:rPr>
              <w:t>Control Solutions</w:t>
            </w:r>
          </w:p>
        </w:tc>
        <w:tc>
          <w:tcPr>
            <w:tcW w:w="132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1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$(21)</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Arial" w:cs="Arial" w:eastAsia="Arial" w:hAnsi="Arial"/>
                <w:sz w:val="18"/>
                <w:szCs w:val="18"/>
                <w:color w:val="auto"/>
              </w:rPr>
              <w:t>Restructuring and realignment</w:t>
            </w:r>
          </w:p>
        </w:tc>
        <w:tc>
          <w:tcPr>
            <w:tcW w:w="1860" w:type="dxa"/>
            <w:vAlign w:val="bottom"/>
          </w:tcPr>
          <w:p>
            <w:pPr>
              <w:jc w:val="right"/>
              <w:spacing w:after="0"/>
              <w:rPr>
                <w:sz w:val="20"/>
                <w:szCs w:val="20"/>
                <w:color w:val="auto"/>
              </w:rPr>
            </w:pPr>
            <w:r>
              <w:rPr>
                <w:rFonts w:ascii="Arial" w:cs="Arial" w:eastAsia="Arial" w:hAnsi="Arial"/>
                <w:sz w:val="18"/>
                <w:szCs w:val="18"/>
                <w:color w:val="auto"/>
              </w:rPr>
              <w:t>(1)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Arial" w:cs="Arial" w:eastAsia="Arial" w:hAnsi="Arial"/>
                <w:sz w:val="18"/>
                <w:szCs w:val="18"/>
                <w:color w:val="auto"/>
              </w:rPr>
              <w:t>Special charges</w:t>
            </w:r>
          </w:p>
        </w:tc>
        <w:tc>
          <w:tcPr>
            <w:tcW w:w="1860" w:type="dxa"/>
            <w:vAlign w:val="bottom"/>
          </w:tcPr>
          <w:p>
            <w:pPr>
              <w:jc w:val="right"/>
              <w:spacing w:after="0"/>
              <w:rPr>
                <w:sz w:val="20"/>
                <w:szCs w:val="20"/>
                <w:color w:val="auto"/>
              </w:rPr>
            </w:pPr>
            <w:r>
              <w:rPr>
                <w:rFonts w:ascii="Arial" w:cs="Arial" w:eastAsia="Arial" w:hAnsi="Arial"/>
                <w:sz w:val="18"/>
                <w:szCs w:val="18"/>
                <w:color w:val="auto"/>
              </w:rPr>
              <w:t>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from sale of business</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980" w:type="dxa"/>
            <w:vAlign w:val="bottom"/>
          </w:tcPr>
          <w:p>
            <w:pPr>
              <w:jc w:val="right"/>
              <w:ind w:right="110"/>
              <w:spacing w:after="0"/>
              <w:rPr>
                <w:sz w:val="20"/>
                <w:szCs w:val="20"/>
                <w:color w:val="auto"/>
              </w:rPr>
            </w:pPr>
            <w:r>
              <w:rPr>
                <w:rFonts w:ascii="Arial" w:cs="Arial" w:eastAsia="Arial" w:hAnsi="Arial"/>
                <w:sz w:val="18"/>
                <w:szCs w:val="18"/>
                <w:b w:val="1"/>
                <w:bCs w:val="1"/>
                <w:color w:val="auto"/>
              </w:rPr>
              <w:t>$(17)</w:t>
            </w: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2.4 %</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(1.3)%</w:t>
            </w:r>
          </w:p>
        </w:tc>
        <w:tc>
          <w:tcPr>
            <w:tcW w:w="1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i w:val="1"/>
                <w:iCs w:val="1"/>
                <w:color w:val="auto"/>
              </w:rPr>
              <w:t>(4.1)%</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i w:val="1"/>
                <w:iCs w:val="1"/>
                <w:color w:val="auto"/>
              </w:rPr>
              <w:t>NM</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(0.7)%</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Other includes Regional selling locations, corporate and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-115570</wp:posOffset>
            </wp:positionV>
            <wp:extent cx="686625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662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76835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80" w:top="1147" w:right="5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Six Months Ended</w:t>
            </w:r>
          </w:p>
        </w:tc>
        <w:tc>
          <w:tcPr>
            <w:tcW w:w="1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8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June 30, 2022</w:t>
            </w:r>
          </w:p>
        </w:tc>
        <w:tc>
          <w:tcPr>
            <w:tcW w:w="18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tcPr>
          <w:p>
            <w:pPr>
              <w:spacing w:after="0"/>
              <w:rPr>
                <w:sz w:val="21"/>
                <w:szCs w:val="21"/>
                <w:color w:val="auto"/>
              </w:rPr>
            </w:pPr>
          </w:p>
        </w:tc>
        <w:tc>
          <w:tcPr>
            <w:tcW w:w="180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188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Net Income margin</w:t>
            </w:r>
          </w:p>
        </w:tc>
        <w:tc>
          <w:tcPr>
            <w:tcW w:w="1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7.4 %</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18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2860" w:type="dxa"/>
            <w:vAlign w:val="bottom"/>
          </w:tcPr>
          <w:p>
            <w:pPr>
              <w:ind w:left="240"/>
              <w:spacing w:after="0"/>
              <w:rPr>
                <w:sz w:val="20"/>
                <w:szCs w:val="20"/>
                <w:color w:val="auto"/>
              </w:rPr>
            </w:pPr>
            <w:r>
              <w:rPr>
                <w:rFonts w:ascii="Arial" w:cs="Arial" w:eastAsia="Arial" w:hAnsi="Arial"/>
                <w:sz w:val="18"/>
                <w:szCs w:val="18"/>
                <w:color w:val="auto"/>
              </w:rPr>
              <w:t>Amortization</w:t>
            </w:r>
          </w:p>
        </w:tc>
        <w:tc>
          <w:tcPr>
            <w:tcW w:w="1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w:t>
            </w:r>
          </w:p>
        </w:tc>
        <w:tc>
          <w:tcPr>
            <w:tcW w:w="18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expense</w:t>
            </w:r>
          </w:p>
        </w:tc>
        <w:tc>
          <w:tcPr>
            <w:tcW w:w="18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8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Water Infrastructure</w:t>
            </w:r>
          </w:p>
        </w:tc>
        <w:tc>
          <w:tcPr>
            <w:tcW w:w="168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Applied Water</w:t>
            </w:r>
          </w:p>
        </w:tc>
        <w:tc>
          <w:tcPr>
            <w:tcW w:w="1880" w:type="dxa"/>
            <w:vAlign w:val="bottom"/>
          </w:tcPr>
          <w:p>
            <w:pPr>
              <w:jc w:val="right"/>
              <w:ind w:right="270"/>
              <w:spacing w:after="0" w:line="176" w:lineRule="exact"/>
              <w:rPr>
                <w:sz w:val="20"/>
                <w:szCs w:val="20"/>
                <w:color w:val="auto"/>
              </w:rPr>
            </w:pPr>
            <w:r>
              <w:rPr>
                <w:rFonts w:ascii="Arial" w:cs="Arial" w:eastAsia="Arial" w:hAnsi="Arial"/>
                <w:sz w:val="18"/>
                <w:szCs w:val="18"/>
                <w:b w:val="1"/>
                <w:bCs w:val="1"/>
                <w:color w:val="auto"/>
              </w:rPr>
              <w:t>Measurement &amp;</w:t>
            </w:r>
          </w:p>
        </w:tc>
        <w:tc>
          <w:tcPr>
            <w:tcW w:w="1220" w:type="dxa"/>
            <w:vAlign w:val="bottom"/>
            <w:gridSpan w:val="2"/>
            <w:vMerge w:val="restart"/>
          </w:tcPr>
          <w:p>
            <w:pPr>
              <w:jc w:val="right"/>
              <w:ind w:right="510"/>
              <w:spacing w:after="0"/>
              <w:rPr>
                <w:sz w:val="20"/>
                <w:szCs w:val="20"/>
                <w:color w:val="auto"/>
              </w:rPr>
            </w:pPr>
            <w:r>
              <w:rPr>
                <w:rFonts w:ascii="Arial" w:cs="Arial" w:eastAsia="Arial" w:hAnsi="Arial"/>
                <w:sz w:val="18"/>
                <w:szCs w:val="18"/>
                <w:b w:val="1"/>
                <w:bCs w:val="1"/>
                <w:color w:val="auto"/>
              </w:rPr>
              <w:t>Other*</w:t>
            </w:r>
          </w:p>
        </w:tc>
        <w:tc>
          <w:tcPr>
            <w:tcW w:w="1480" w:type="dxa"/>
            <w:vAlign w:val="bottom"/>
            <w:vMerge w:val="restart"/>
          </w:tcPr>
          <w:p>
            <w:pPr>
              <w:jc w:val="right"/>
              <w:ind w:right="6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1"/>
                <w:szCs w:val="21"/>
                <w:color w:val="auto"/>
              </w:rPr>
            </w:pPr>
          </w:p>
        </w:tc>
        <w:tc>
          <w:tcPr>
            <w:tcW w:w="1800" w:type="dxa"/>
            <w:vAlign w:val="bottom"/>
            <w:vMerge w:val="continue"/>
          </w:tcPr>
          <w:p>
            <w:pPr>
              <w:spacing w:after="0"/>
              <w:rPr>
                <w:sz w:val="21"/>
                <w:szCs w:val="21"/>
                <w:color w:val="auto"/>
              </w:rPr>
            </w:pPr>
          </w:p>
        </w:tc>
        <w:tc>
          <w:tcPr>
            <w:tcW w:w="1680" w:type="dxa"/>
            <w:vAlign w:val="bottom"/>
            <w:vMerge w:val="continue"/>
          </w:tcPr>
          <w:p>
            <w:pPr>
              <w:spacing w:after="0"/>
              <w:rPr>
                <w:sz w:val="21"/>
                <w:szCs w:val="21"/>
                <w:color w:val="auto"/>
              </w:rPr>
            </w:pPr>
          </w:p>
        </w:tc>
        <w:tc>
          <w:tcPr>
            <w:tcW w:w="1880" w:type="dxa"/>
            <w:vAlign w:val="bottom"/>
          </w:tcPr>
          <w:p>
            <w:pPr>
              <w:jc w:val="right"/>
              <w:ind w:right="170"/>
              <w:spacing w:after="0"/>
              <w:rPr>
                <w:sz w:val="20"/>
                <w:szCs w:val="20"/>
                <w:color w:val="auto"/>
              </w:rPr>
            </w:pPr>
            <w:r>
              <w:rPr>
                <w:rFonts w:ascii="Arial" w:cs="Arial" w:eastAsia="Arial" w:hAnsi="Arial"/>
                <w:sz w:val="18"/>
                <w:szCs w:val="18"/>
                <w:b w:val="1"/>
                <w:bCs w:val="1"/>
                <w:color w:val="auto"/>
              </w:rPr>
              <w:t>Control Solutions</w:t>
            </w:r>
          </w:p>
        </w:tc>
        <w:tc>
          <w:tcPr>
            <w:tcW w:w="1220" w:type="dxa"/>
            <w:vAlign w:val="bottom"/>
            <w:gridSpan w:val="2"/>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$129</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w:t>
            </w: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Restructuring and realignment</w:t>
            </w:r>
          </w:p>
        </w:tc>
        <w:tc>
          <w:tcPr>
            <w:tcW w:w="1800" w:type="dxa"/>
            <w:vAlign w:val="bottom"/>
          </w:tcPr>
          <w:p>
            <w:pPr>
              <w:jc w:val="right"/>
              <w:spacing w:after="0"/>
              <w:rPr>
                <w:sz w:val="20"/>
                <w:szCs w:val="20"/>
                <w:color w:val="auto"/>
              </w:rPr>
            </w:pPr>
            <w:r>
              <w:rPr>
                <w:rFonts w:ascii="Arial" w:cs="Arial" w:eastAsia="Arial" w:hAnsi="Arial"/>
                <w:sz w:val="18"/>
                <w:szCs w:val="18"/>
                <w:color w:val="auto"/>
              </w:rPr>
              <w:t>4</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88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2860" w:type="dxa"/>
            <w:vAlign w:val="bottom"/>
          </w:tcPr>
          <w:p>
            <w:pPr>
              <w:ind w:left="140"/>
              <w:spacing w:after="0"/>
              <w:rPr>
                <w:sz w:val="20"/>
                <w:szCs w:val="20"/>
                <w:color w:val="auto"/>
              </w:rPr>
            </w:pPr>
            <w:r>
              <w:rPr>
                <w:rFonts w:ascii="Arial" w:cs="Arial" w:eastAsia="Arial" w:hAnsi="Arial"/>
                <w:sz w:val="18"/>
                <w:szCs w:val="18"/>
                <w:color w:val="auto"/>
              </w:rPr>
              <w:t>Special charges</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from sale of business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1680" w:type="dxa"/>
            <w:vAlign w:val="bottom"/>
          </w:tcPr>
          <w:p>
            <w:pPr>
              <w:jc w:val="right"/>
              <w:ind w:right="30"/>
              <w:spacing w:after="0"/>
              <w:rPr>
                <w:sz w:val="20"/>
                <w:szCs w:val="20"/>
                <w:color w:val="auto"/>
              </w:rPr>
            </w:pPr>
            <w:r>
              <w:rPr>
                <w:rFonts w:ascii="Arial" w:cs="Arial" w:eastAsia="Arial" w:hAnsi="Arial"/>
                <w:sz w:val="18"/>
                <w:szCs w:val="18"/>
                <w:b w:val="1"/>
                <w:bCs w:val="1"/>
                <w:color w:val="auto"/>
              </w:rPr>
              <w:t>$134</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$407</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18.8 %</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i w:val="1"/>
                <w:iCs w:val="1"/>
                <w:color w:val="auto"/>
              </w:rPr>
              <w:t>15.7 %</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9.2 %</w:t>
            </w:r>
          </w:p>
        </w:tc>
        <w:tc>
          <w:tcPr>
            <w:tcW w:w="122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b w:val="1"/>
                <w:bCs w:val="1"/>
                <w:i w:val="1"/>
                <w:iCs w:val="1"/>
                <w:color w:val="auto"/>
              </w:rPr>
              <w:t>NM</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15.4 %</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Other includes Regional selling locations, corporate and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692658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6580" cy="13716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Six Months Ended</w:t>
            </w:r>
          </w:p>
        </w:tc>
        <w:tc>
          <w:tcPr>
            <w:tcW w:w="1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8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June 30, 2021</w:t>
            </w:r>
          </w:p>
        </w:tc>
        <w:tc>
          <w:tcPr>
            <w:tcW w:w="18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Net Income margin</w:t>
            </w:r>
          </w:p>
        </w:tc>
        <w:tc>
          <w:tcPr>
            <w:tcW w:w="1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7.7 %</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18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800" w:type="dxa"/>
            <w:vAlign w:val="bottom"/>
          </w:tcPr>
          <w:p>
            <w:pPr>
              <w:ind w:left="240"/>
              <w:spacing w:after="0"/>
              <w:rPr>
                <w:sz w:val="20"/>
                <w:szCs w:val="20"/>
                <w:color w:val="auto"/>
              </w:rPr>
            </w:pPr>
            <w:r>
              <w:rPr>
                <w:rFonts w:ascii="Arial" w:cs="Arial" w:eastAsia="Arial" w:hAnsi="Arial"/>
                <w:sz w:val="18"/>
                <w:szCs w:val="18"/>
                <w:color w:val="auto"/>
              </w:rPr>
              <w:t>Amortization</w:t>
            </w:r>
          </w:p>
        </w:tc>
        <w:tc>
          <w:tcPr>
            <w:tcW w:w="18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w:t>
            </w:r>
          </w:p>
        </w:tc>
        <w:tc>
          <w:tcPr>
            <w:tcW w:w="18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2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expense</w:t>
            </w:r>
          </w:p>
        </w:tc>
        <w:tc>
          <w:tcPr>
            <w:tcW w:w="18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8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w:t>
            </w:r>
          </w:p>
        </w:tc>
        <w:tc>
          <w:tcPr>
            <w:tcW w:w="0" w:type="dxa"/>
            <w:vAlign w:val="bottom"/>
          </w:tcPr>
          <w:p>
            <w:pPr>
              <w:spacing w:after="0"/>
              <w:rPr>
                <w:sz w:val="1"/>
                <w:szCs w:val="1"/>
                <w:color w:val="auto"/>
              </w:rPr>
            </w:pPr>
          </w:p>
        </w:tc>
      </w:tr>
      <w:tr>
        <w:trPr>
          <w:trHeight w:val="175"/>
        </w:trPr>
        <w:tc>
          <w:tcPr>
            <w:tcW w:w="280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Water Infrastructure</w:t>
            </w:r>
          </w:p>
        </w:tc>
        <w:tc>
          <w:tcPr>
            <w:tcW w:w="16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Applied Water</w:t>
            </w:r>
          </w:p>
        </w:tc>
        <w:tc>
          <w:tcPr>
            <w:tcW w:w="1860" w:type="dxa"/>
            <w:vAlign w:val="bottom"/>
          </w:tcPr>
          <w:p>
            <w:pPr>
              <w:jc w:val="right"/>
              <w:ind w:right="250"/>
              <w:spacing w:after="0" w:line="176" w:lineRule="exact"/>
              <w:rPr>
                <w:sz w:val="20"/>
                <w:szCs w:val="20"/>
                <w:color w:val="auto"/>
              </w:rPr>
            </w:pPr>
            <w:r>
              <w:rPr>
                <w:rFonts w:ascii="Arial" w:cs="Arial" w:eastAsia="Arial" w:hAnsi="Arial"/>
                <w:sz w:val="18"/>
                <w:szCs w:val="18"/>
                <w:b w:val="1"/>
                <w:bCs w:val="1"/>
                <w:color w:val="auto"/>
              </w:rPr>
              <w:t>Measurement &amp;</w:t>
            </w: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Other*</w:t>
            </w:r>
          </w:p>
        </w:tc>
        <w:tc>
          <w:tcPr>
            <w:tcW w:w="190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1"/>
                <w:szCs w:val="21"/>
                <w:color w:val="auto"/>
              </w:rPr>
            </w:pPr>
          </w:p>
        </w:tc>
        <w:tc>
          <w:tcPr>
            <w:tcW w:w="1800" w:type="dxa"/>
            <w:vAlign w:val="bottom"/>
            <w:vMerge w:val="continue"/>
          </w:tcPr>
          <w:p>
            <w:pPr>
              <w:spacing w:after="0"/>
              <w:rPr>
                <w:sz w:val="21"/>
                <w:szCs w:val="21"/>
                <w:color w:val="auto"/>
              </w:rPr>
            </w:pPr>
          </w:p>
        </w:tc>
        <w:tc>
          <w:tcPr>
            <w:tcW w:w="1680" w:type="dxa"/>
            <w:vAlign w:val="bottom"/>
            <w:vMerge w:val="continue"/>
          </w:tcPr>
          <w:p>
            <w:pPr>
              <w:spacing w:after="0"/>
              <w:rPr>
                <w:sz w:val="21"/>
                <w:szCs w:val="21"/>
                <w:color w:val="auto"/>
              </w:rPr>
            </w:pPr>
          </w:p>
        </w:tc>
        <w:tc>
          <w:tcPr>
            <w:tcW w:w="1860" w:type="dxa"/>
            <w:vAlign w:val="bottom"/>
          </w:tcPr>
          <w:p>
            <w:pPr>
              <w:jc w:val="right"/>
              <w:ind w:right="170"/>
              <w:spacing w:after="0"/>
              <w:rPr>
                <w:sz w:val="20"/>
                <w:szCs w:val="20"/>
                <w:color w:val="auto"/>
              </w:rPr>
            </w:pPr>
            <w:r>
              <w:rPr>
                <w:rFonts w:ascii="Arial" w:cs="Arial" w:eastAsia="Arial" w:hAnsi="Arial"/>
                <w:sz w:val="18"/>
                <w:szCs w:val="18"/>
                <w:b w:val="1"/>
                <w:bCs w:val="1"/>
                <w:color w:val="auto"/>
              </w:rPr>
              <w:t>Control Solutions</w:t>
            </w:r>
          </w:p>
        </w:tc>
        <w:tc>
          <w:tcPr>
            <w:tcW w:w="800" w:type="dxa"/>
            <w:vAlign w:val="bottom"/>
            <w:vMerge w:val="continue"/>
          </w:tcPr>
          <w:p>
            <w:pPr>
              <w:spacing w:after="0"/>
              <w:rPr>
                <w:sz w:val="21"/>
                <w:szCs w:val="21"/>
                <w:color w:val="auto"/>
              </w:rPr>
            </w:pPr>
          </w:p>
        </w:tc>
        <w:tc>
          <w:tcPr>
            <w:tcW w:w="1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$143</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w:t>
            </w:r>
          </w:p>
        </w:tc>
        <w:tc>
          <w:tcPr>
            <w:tcW w:w="0" w:type="dxa"/>
            <w:vAlign w:val="bottom"/>
          </w:tcPr>
          <w:p>
            <w:pPr>
              <w:spacing w:after="0"/>
              <w:rPr>
                <w:sz w:val="1"/>
                <w:szCs w:val="1"/>
                <w:color w:val="auto"/>
              </w:rPr>
            </w:pPr>
          </w:p>
        </w:tc>
      </w:tr>
      <w:tr>
        <w:trPr>
          <w:trHeight w:val="229"/>
        </w:trPr>
        <w:tc>
          <w:tcPr>
            <w:tcW w:w="2800" w:type="dxa"/>
            <w:vAlign w:val="bottom"/>
          </w:tcPr>
          <w:p>
            <w:pPr>
              <w:ind w:left="140"/>
              <w:spacing w:after="0"/>
              <w:rPr>
                <w:sz w:val="20"/>
                <w:szCs w:val="20"/>
                <w:color w:val="auto"/>
              </w:rPr>
            </w:pPr>
            <w:r>
              <w:rPr>
                <w:rFonts w:ascii="Arial" w:cs="Arial" w:eastAsia="Arial" w:hAnsi="Arial"/>
                <w:sz w:val="18"/>
                <w:szCs w:val="18"/>
                <w:color w:val="auto"/>
              </w:rPr>
              <w:t>Restructuring and realignment</w:t>
            </w:r>
          </w:p>
        </w:tc>
        <w:tc>
          <w:tcPr>
            <w:tcW w:w="1800" w:type="dxa"/>
            <w:vAlign w:val="bottom"/>
          </w:tcPr>
          <w:p>
            <w:pPr>
              <w:jc w:val="right"/>
              <w:spacing w:after="0"/>
              <w:rPr>
                <w:sz w:val="20"/>
                <w:szCs w:val="20"/>
                <w:color w:val="auto"/>
              </w:rPr>
            </w:pPr>
            <w:r>
              <w:rPr>
                <w:rFonts w:ascii="Arial" w:cs="Arial" w:eastAsia="Arial" w:hAnsi="Arial"/>
                <w:sz w:val="18"/>
                <w:szCs w:val="18"/>
                <w:color w:val="auto"/>
              </w:rPr>
              <w:t>9</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860" w:type="dxa"/>
            <w:vAlign w:val="bottom"/>
          </w:tcPr>
          <w:p>
            <w:pPr>
              <w:jc w:val="right"/>
              <w:spacing w:after="0"/>
              <w:rPr>
                <w:sz w:val="20"/>
                <w:szCs w:val="20"/>
                <w:color w:val="auto"/>
              </w:rPr>
            </w:pPr>
            <w:r>
              <w:rPr>
                <w:rFonts w:ascii="Arial" w:cs="Arial" w:eastAsia="Arial" w:hAnsi="Arial"/>
                <w:sz w:val="18"/>
                <w:szCs w:val="18"/>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9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800" w:type="dxa"/>
            <w:vAlign w:val="bottom"/>
          </w:tcPr>
          <w:p>
            <w:pPr>
              <w:ind w:left="140"/>
              <w:spacing w:after="0"/>
              <w:rPr>
                <w:sz w:val="20"/>
                <w:szCs w:val="20"/>
                <w:color w:val="auto"/>
              </w:rPr>
            </w:pPr>
            <w:r>
              <w:rPr>
                <w:rFonts w:ascii="Arial" w:cs="Arial" w:eastAsia="Arial" w:hAnsi="Arial"/>
                <w:sz w:val="18"/>
                <w:szCs w:val="18"/>
                <w:color w:val="auto"/>
              </w:rPr>
              <w:t>Special charges</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60" w:type="dxa"/>
            <w:vAlign w:val="bottom"/>
          </w:tcPr>
          <w:p>
            <w:pPr>
              <w:jc w:val="right"/>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from sale of business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1680" w:type="dxa"/>
            <w:vAlign w:val="bottom"/>
          </w:tcPr>
          <w:p>
            <w:pPr>
              <w:jc w:val="right"/>
              <w:ind w:right="30"/>
              <w:spacing w:after="0"/>
              <w:rPr>
                <w:sz w:val="20"/>
                <w:szCs w:val="20"/>
                <w:color w:val="auto"/>
              </w:rPr>
            </w:pPr>
            <w:r>
              <w:rPr>
                <w:rFonts w:ascii="Arial" w:cs="Arial" w:eastAsia="Arial" w:hAnsi="Arial"/>
                <w:sz w:val="18"/>
                <w:szCs w:val="18"/>
                <w:b w:val="1"/>
                <w:bCs w:val="1"/>
                <w:color w:val="auto"/>
              </w:rPr>
              <w:t>$147</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$449</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18.2 %</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i w:val="1"/>
                <w:iCs w:val="1"/>
                <w:color w:val="auto"/>
              </w:rPr>
              <w:t>18.2 %</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13.6 %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NM</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17.2 %</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Other includes Regional selling locations, corporate and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687514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7514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41" w:right="659" w:bottom="1440" w:gutter="0" w:footer="0" w:header="0"/>
        </w:sectPr>
      </w:pPr>
    </w:p>
    <w:bookmarkStart w:id="49" w:name="page50"/>
    <w:bookmarkEnd w:id="49"/>
    <w:p>
      <w:pPr>
        <w:jc w:val="center"/>
        <w:ind w:right="400"/>
        <w:spacing w:after="0"/>
        <w:rPr>
          <w:sz w:val="20"/>
          <w:szCs w:val="20"/>
          <w:color w:val="auto"/>
        </w:rPr>
      </w:pPr>
      <w:r>
        <w:rPr>
          <w:rFonts w:ascii="Arial" w:cs="Arial" w:eastAsia="Arial" w:hAnsi="Arial"/>
          <w:sz w:val="18"/>
          <w:szCs w:val="18"/>
          <w:b w:val="1"/>
          <w:bCs w:val="1"/>
          <w:color w:val="auto"/>
        </w:rPr>
        <w:t>2022 versus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0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Water Infrastructure</w:t>
            </w:r>
          </w:p>
        </w:tc>
        <w:tc>
          <w:tcPr>
            <w:tcW w:w="13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Applied Water</w:t>
            </w:r>
          </w:p>
        </w:tc>
        <w:tc>
          <w:tcPr>
            <w:tcW w:w="1980" w:type="dxa"/>
            <w:vAlign w:val="bottom"/>
            <w:tcBorders>
              <w:top w:val="single" w:sz="8" w:color="auto"/>
            </w:tcBorders>
          </w:tcPr>
          <w:p>
            <w:pPr>
              <w:jc w:val="right"/>
              <w:ind w:right="370"/>
              <w:spacing w:after="0" w:line="169" w:lineRule="exact"/>
              <w:rPr>
                <w:sz w:val="20"/>
                <w:szCs w:val="20"/>
                <w:color w:val="auto"/>
              </w:rPr>
            </w:pPr>
            <w:r>
              <w:rPr>
                <w:rFonts w:ascii="Arial" w:cs="Arial" w:eastAsia="Arial" w:hAnsi="Arial"/>
                <w:sz w:val="18"/>
                <w:szCs w:val="18"/>
                <w:b w:val="1"/>
                <w:bCs w:val="1"/>
                <w:color w:val="auto"/>
              </w:rPr>
              <w:t>Measurement &amp;</w:t>
            </w:r>
          </w:p>
        </w:tc>
        <w:tc>
          <w:tcPr>
            <w:tcW w:w="1320" w:type="dxa"/>
            <w:vAlign w:val="bottom"/>
            <w:tcBorders>
              <w:top w:val="single" w:sz="8" w:color="auto"/>
            </w:tcBorders>
            <w:vMerge w:val="restart"/>
          </w:tcPr>
          <w:p>
            <w:pPr>
              <w:jc w:val="right"/>
              <w:ind w:right="490"/>
              <w:spacing w:after="0"/>
              <w:rPr>
                <w:sz w:val="20"/>
                <w:szCs w:val="20"/>
                <w:color w:val="auto"/>
              </w:rPr>
            </w:pPr>
            <w:r>
              <w:rPr>
                <w:rFonts w:ascii="Arial" w:cs="Arial" w:eastAsia="Arial" w:hAnsi="Arial"/>
                <w:sz w:val="18"/>
                <w:szCs w:val="18"/>
                <w:b w:val="1"/>
                <w:bCs w:val="1"/>
                <w:color w:val="auto"/>
              </w:rPr>
              <w:t>Other*</w:t>
            </w:r>
          </w:p>
        </w:tc>
        <w:tc>
          <w:tcPr>
            <w:tcW w:w="108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1860" w:type="dxa"/>
            <w:vAlign w:val="bottom"/>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b w:val="1"/>
                <w:bCs w:val="1"/>
                <w:color w:val="auto"/>
              </w:rPr>
              <w:t>Control Solutions</w:t>
            </w:r>
          </w:p>
        </w:tc>
        <w:tc>
          <w:tcPr>
            <w:tcW w:w="132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w:t>
            </w:r>
          </w:p>
        </w:tc>
        <w:tc>
          <w:tcPr>
            <w:tcW w:w="1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$(40)</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Arial" w:cs="Arial" w:eastAsia="Arial" w:hAnsi="Arial"/>
                <w:sz w:val="18"/>
                <w:szCs w:val="18"/>
                <w:color w:val="auto"/>
              </w:rPr>
              <w:t>Restructuring and realignment</w:t>
            </w:r>
          </w:p>
        </w:tc>
        <w:tc>
          <w:tcPr>
            <w:tcW w:w="1860" w:type="dxa"/>
            <w:vAlign w:val="bottom"/>
          </w:tcPr>
          <w:p>
            <w:pPr>
              <w:jc w:val="right"/>
              <w:spacing w:after="0"/>
              <w:rPr>
                <w:sz w:val="20"/>
                <w:szCs w:val="20"/>
                <w:color w:val="auto"/>
              </w:rPr>
            </w:pPr>
            <w:r>
              <w:rPr>
                <w:rFonts w:ascii="Arial" w:cs="Arial" w:eastAsia="Arial" w:hAnsi="Arial"/>
                <w:sz w:val="18"/>
                <w:szCs w:val="18"/>
                <w:color w:val="auto"/>
              </w:rPr>
              <w:t>(5)</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Arial" w:cs="Arial" w:eastAsia="Arial" w:hAnsi="Arial"/>
                <w:sz w:val="18"/>
                <w:szCs w:val="18"/>
                <w:color w:val="auto"/>
              </w:rPr>
              <w:t>Special charges</w:t>
            </w:r>
          </w:p>
        </w:tc>
        <w:tc>
          <w:tcPr>
            <w:tcW w:w="1860" w:type="dxa"/>
            <w:vAlign w:val="bottom"/>
          </w:tcPr>
          <w:p>
            <w:pPr>
              <w:jc w:val="right"/>
              <w:spacing w:after="0"/>
              <w:rPr>
                <w:sz w:val="20"/>
                <w:szCs w:val="20"/>
                <w:color w:val="auto"/>
              </w:rPr>
            </w:pPr>
            <w:r>
              <w:rPr>
                <w:rFonts w:ascii="Arial" w:cs="Arial" w:eastAsia="Arial" w:hAnsi="Arial"/>
                <w:sz w:val="18"/>
                <w:szCs w:val="18"/>
                <w:color w:val="auto"/>
              </w:rPr>
              <w:t>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from sale of business</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9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1980" w:type="dxa"/>
            <w:vAlign w:val="bottom"/>
          </w:tcPr>
          <w:p>
            <w:pPr>
              <w:jc w:val="right"/>
              <w:ind w:right="110"/>
              <w:spacing w:after="0"/>
              <w:rPr>
                <w:sz w:val="20"/>
                <w:szCs w:val="20"/>
                <w:color w:val="auto"/>
              </w:rPr>
            </w:pPr>
            <w:r>
              <w:rPr>
                <w:rFonts w:ascii="Arial" w:cs="Arial" w:eastAsia="Arial" w:hAnsi="Arial"/>
                <w:sz w:val="18"/>
                <w:szCs w:val="18"/>
                <w:b w:val="1"/>
                <w:bCs w:val="1"/>
                <w:color w:val="auto"/>
              </w:rPr>
              <w:t>$(37)</w:t>
            </w: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$(7)</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0.6 %</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(2.5)%</w:t>
            </w:r>
          </w:p>
        </w:tc>
        <w:tc>
          <w:tcPr>
            <w:tcW w:w="19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i w:val="1"/>
                <w:iCs w:val="1"/>
                <w:color w:val="auto"/>
              </w:rPr>
              <w:t>(4.4)%</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i w:val="1"/>
                <w:iCs w:val="1"/>
                <w:color w:val="auto"/>
              </w:rPr>
              <w:t>NM</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Other includes Regional selling locations, corporate and other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686625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66255" cy="13716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Operating income for our Water Infrastructure segment increased $15 million, or 16.1%, for the second quarter of 2022 compared to the prior year, with operating margin also increasing from 16.3% to 18.3%. Operating margin benefited from a decrease in restructuring and realignment costs of $ 1 million during the quarter. Excluding these restructuring and realignment costs, adjusted operating income increased $14 million, or 14.4%, with adjusted operating margin increasing from 17.0% to 18.8%. The increase in adjusted operating margin for the quarter was primarily due to strong price realization, productivity savings, net favorable impacts from movements in exchange rates as well as modest favorability from volume and mix. These items were partially offset by cost inflation and increased spending on strategic investments.</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six months ended June 30, 2022, operating income for our Water Infrastructure segment increased $18 million, or 11.0%, as compared to the prior year, with operating margin also increasing from 15.2% to 16.2%. Operating margin benefited from a decrease in restructuring and realignment costs of $5 million in 2022. Excluding these restructuring and realignment costs, adjusted operating income increased $13 million, or 7.5%, with adjusted operating margin increasing from 16.0% to 16.6%. The increase in adjusted operating margin for the period was primarily due to strong price realization, productivity savings, favorable volume and net favorable impacts from movements in exchange rates. These items were partially offset by cost inflation and increased spending on strategic investments.</w:t>
      </w:r>
    </w:p>
    <w:p>
      <w:pPr>
        <w:spacing w:after="0" w:line="7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Adjusted EBITDA was $126 million (adjusted EBITDA margin of 21.4%) for the second quarter of 2022, an increase of $18 million, or 16.7%, when compared to adjusted EBITDA of $108 million (adjusted EBITDA margin of 19.0%) during the prior year. The increase in adjusted EBITDA margin was primarily due to the same factors impacting the increase in adjusted operating margin; however, adjusted EBITDA margin also benefited from an increase in investment income in the quarter included in other non-operating income/(expense).</w:t>
      </w:r>
    </w:p>
    <w:p>
      <w:pPr>
        <w:spacing w:after="0" w:line="6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Adjusted EBITDA was $211 million (adjusted EBITDA margin of 18.8%) for the six months ended June 30, 2022, an increase of $15 million, or 7.7%, when compared to adjusted EBITDA of $196 million (adjusted EBITDA margin of 18.2%) during 2021. The increase in adjusted EBITDA margin was primarily due to the same factors impacting the increase in adjusted operating margin.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Operating income for our Applied Water segment decreased $3 million, or 4.7%, for the second quarter of 2022 compared to the prior year, with operating margin decreasing from 15.5% to 14.2%. Operating margin was impacted by restructuring and realignment costs of $2 million in both years. Excluding these items, adjusted operating income decreased $3 million, or 4.5%, with adjusted operating margin decreasing from 15.9% to 14.7%. The decrease in adjusted operating margin for the quarter was primarily due to cost inflation and increased logistics costs, increased spending on strategic investments, as well as unfavorable volume and mix. These impacts were partially offset by strong price realization and productivity savings.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1" w:right="359" w:bottom="1440" w:gutter="0" w:footer="0" w:header="0"/>
        </w:sectPr>
      </w:pPr>
    </w:p>
    <w:bookmarkStart w:id="50" w:name="page51"/>
    <w:bookmarkEnd w:id="50"/>
    <w:p>
      <w:pPr>
        <w:spacing w:after="0" w:line="257" w:lineRule="auto"/>
        <w:rPr>
          <w:sz w:val="20"/>
          <w:szCs w:val="20"/>
          <w:color w:val="auto"/>
        </w:rPr>
      </w:pPr>
      <w:r>
        <w:rPr>
          <w:rFonts w:ascii="Arial" w:cs="Arial" w:eastAsia="Arial" w:hAnsi="Arial"/>
          <w:sz w:val="18"/>
          <w:szCs w:val="18"/>
          <w:color w:val="auto"/>
        </w:rPr>
        <w:t>For the six months ended June 30, 2022, operating income for our Applied Water segment decreased $10 million, or 7.7%, as compared to the prior year, with operating margin decreasing from 16.1% to 14.1%. Operating margin was impacted by restructuring and realignment costs of $ 3 million in both years and a decrease of special charges of $1 million in the first quarter of 2022. Excluding these items, adjusted operating income decreased $11 million, or 8.2%, with adjusted operating margin decreasing from 16.6% to 14.4%. The decrease in adjusted operating margin for the period was primarily due to cost inflation and increased logistics costs. These impacts were partially offset by price realization.</w:t>
      </w:r>
    </w:p>
    <w:p>
      <w:pPr>
        <w:spacing w:after="0" w:line="7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Adjusted EBITDA was $69 million (adjusted EBITDA margin of 16.1%) for the second quarter of 2022, a decrease of $3 million, or 4.2%, when compared to adjusted EBITDA of $72 million (adjusted EBITDA margin of 17.4%) during the prior year. The decrease in adjusted EBITDA margin was primarily due to the same factors impacting the increase in adjusted operating margin.</w:t>
      </w:r>
    </w:p>
    <w:p>
      <w:pPr>
        <w:spacing w:after="0" w:line="6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Adjusted EBITDA was $134 million (adjusted EBITDA margin of 15.7%) for the six months ended June 30, 2022, a decrease of $13 million, or 8.8%, when compared to adjusted EBITDA of $147 million (adjusted EBITDA margin of 18.2%) during the prior year. The decrease in adjusted EBITDA margin was primarily due to the same factors impacting the increase in adjusted operating margin; however, adjusted EBITDA margin did not benefit from a year over year reduction in depreciation and amortization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&amp; Control Solutions</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Operating income for our Measurement &amp; Control Solutions segment decreased $18 million, or 138.5%, for the second quarter of 2022 compared to the prior year, with operating margin decreasing from 3.5% to (1.4)%. Operating margin was negatively impacted during the quarter by an increase of restructuring and realignment costs of $3 million. Excluding these items, adjusted operating income decreased $14 million, or (107.7)%, with adjusted operating margin decreasing from 3.5% to (0.3)%. The decrease in adjusted operating margin for the quarter was primarily due to cost inflation, unfavorable mix, unfavorable volume and increased spending on strategic investments. These impacts were partially offset by price realization and restructuring and productivity savings.</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six months ended June 30, 2022, operating income for our Measurement &amp; Control Solutions segment decreased $37 million, or 168.2%, as compared to the prior year, with operating margin decreasing from 3.0% to (2.3)%. Operating margin was negatively impacted by an increase of restructuring and realignment costs of $3 million. Excluding these items, adjusted operating income decreased $33 million, or 137.5%, with adjusted operating margin decreasing from 3.3% to (1.4)%. The decrease in adjusted operating margin for the period was primarily due to cost inflation and unfavorable volume and mix. These impacts were partially offset by price realization as well as restructuring and productivity savings.</w:t>
      </w:r>
    </w:p>
    <w:p>
      <w:pPr>
        <w:spacing w:after="0" w:line="7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Adjusted EBITDA was $34 million (adjusted EBITDA margin of 9.8%) for the second quarter of 2022, a decrease of $17 million, or 33.3%, when compared to adjusted EBITDA of $51 million (adjusted EBITDA margin of 13.9%) during the prior year. The decrease in adjusted EBITDA margin was due to the same factors as those impacting the increase in adjusted operating margin; however, adjusted EBITDA margin did not benefit from a year over year reduction in depreciation and amortization expense.</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Adjusted EBITDA was $ 61 million (adjusted EBITDA margin of 9.2%) for the six months ended June 30, 2022, a decrease of $37 million, or 37.8%, when compared to adjusted EBITDA of $98 million (adjusted EBITDA margin of 13.6%) during the prior year. The decrease in adjusted EBITDA margin was due to the same factors as those impacting the increase in adjusted operating margin; however, adjusted EBITDA margin did not benefit from a year over year reduction in depreciation and amortization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15"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Operating loss for corporate and other increased $8 million, or 80.0%, during the second quarter of 2022 compared to the prior year period. For the six months ended June 30, 2022, operating loss for corporate and other increased $7 million, or 30.4%, compared to the same prior period. The increases in operating loss in both periods are primarily due to spending on strategic investments and other initiatives, as well as timing of certain employee-related expenses as compared to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2"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Interest expense was $12 million and $25 million for the three and six months ended June 30, 2022 and $21 million and $42 million for the three and six months ended June 30, 2021, respectively. The decrease in interest expense is primarily driven by interest expense incurred during 2021 related to our senior note that was paid off in October 2021. See Note 10, "Credit Facilities and Debt", of our condensed consolidated financial statements for a description of our credit facilities and long-term debt and related interest.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income tax provision for the three months ended June 30, 2022 was $24 million resulting in an effective tax rate of 17.5%, compared to a $25 million expense resulting in an effective tax rate of 18.5% for the same period in 2021. The income tax provision for the six months ended June 30, 2022 was $40 million resulting in an effective tax rate of 17.0%, compared to a $52 million expense resulting in an effective tax rate of 20.7% for the same period in 2021. The effective tax rate for the three and six month period ended June 30, 2022 differs from the same period in 2021 due to the impact of tax settlement benefits in the current period as compared to tax settlement expenses in the prior year.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6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7"/>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Change</w:t>
            </w:r>
          </w:p>
        </w:tc>
      </w:tr>
      <w:tr>
        <w:trPr>
          <w:trHeight w:val="224"/>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(a)</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6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impact is primarily due to weakening of the Euro and Chinese Yuan partially offset by strengthening of the Russian Ruble.</w:t>
      </w:r>
    </w:p>
    <w:p>
      <w:pPr>
        <w:spacing w:after="0" w:line="123" w:lineRule="exact"/>
        <w:rPr>
          <w:rFonts w:ascii="Arial" w:cs="Arial" w:eastAsia="Arial" w:hAnsi="Arial"/>
          <w:sz w:val="16"/>
          <w:szCs w:val="16"/>
          <w:color w:val="auto"/>
        </w:rPr>
      </w:pPr>
    </w:p>
    <w:p>
      <w:pPr>
        <w:ind w:right="8660"/>
        <w:spacing w:after="0" w:line="366" w:lineRule="auto"/>
        <w:rPr>
          <w:rFonts w:ascii="Arial" w:cs="Arial" w:eastAsia="Arial" w:hAnsi="Arial"/>
          <w:sz w:val="16"/>
          <w:szCs w:val="16"/>
          <w:color w:val="auto"/>
        </w:rPr>
      </w:pPr>
      <w:r>
        <w:rPr>
          <w:rFonts w:ascii="Arial" w:cs="Arial" w:eastAsia="Arial" w:hAnsi="Arial"/>
          <w:sz w:val="18"/>
          <w:szCs w:val="18"/>
          <w:b w:val="1"/>
          <w:bCs w:val="1"/>
          <w:i w:val="1"/>
          <w:iCs w:val="1"/>
          <w:color w:val="auto"/>
        </w:rPr>
        <w:t xml:space="preserve">Sources and Uses of Liquidity </w:t>
      </w:r>
      <w:r>
        <w:rPr>
          <w:rFonts w:ascii="Arial" w:cs="Arial" w:eastAsia="Arial" w:hAnsi="Arial"/>
          <w:sz w:val="18"/>
          <w:szCs w:val="18"/>
          <w:i w:val="1"/>
          <w:iCs w:val="1"/>
          <w:color w:val="auto"/>
        </w:rPr>
        <w:t>Operating Activities</w:t>
      </w:r>
    </w:p>
    <w:p>
      <w:pPr>
        <w:spacing w:after="0" w:line="1"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color w:val="auto"/>
        </w:rPr>
        <w:t>Cash generated by operating activities was $32 million for the six months ended June 30, 2022 as compared to $206 million in the comparable prior year period. The reduction in cash generated was primarily driven by higher working capital levels, reflecting increased safety stock and higher advanced payments to suppliers to mitigate supply chain volatility and higher accounts receivable driven by</w:t>
      </w:r>
    </w:p>
    <w:p>
      <w:pPr>
        <w:spacing w:after="0" w:line="2" w:lineRule="exact"/>
        <w:rPr>
          <w:sz w:val="20"/>
          <w:szCs w:val="20"/>
          <w:color w:val="auto"/>
        </w:rPr>
      </w:pPr>
    </w:p>
    <w:p>
      <w:pPr>
        <w:ind w:right="1200"/>
        <w:spacing w:after="0" w:line="349" w:lineRule="auto"/>
        <w:rPr>
          <w:sz w:val="20"/>
          <w:szCs w:val="20"/>
          <w:color w:val="auto"/>
        </w:rPr>
      </w:pPr>
      <w:r>
        <w:rPr>
          <w:rFonts w:ascii="Arial" w:cs="Arial" w:eastAsia="Arial" w:hAnsi="Arial"/>
          <w:sz w:val="18"/>
          <w:szCs w:val="18"/>
          <w:color w:val="auto"/>
        </w:rPr>
        <w:t xml:space="preserve">increased sales. Increased customer advances, as well as lower interest and income tax payments partially offset these items. </w:t>
      </w:r>
      <w:r>
        <w:rPr>
          <w:rFonts w:ascii="Arial" w:cs="Arial" w:eastAsia="Arial" w:hAnsi="Arial"/>
          <w:sz w:val="18"/>
          <w:szCs w:val="18"/>
          <w:i w:val="1"/>
          <w:iCs w:val="1"/>
          <w:color w:val="auto"/>
        </w:rPr>
        <w:t>Investing Activities</w:t>
      </w:r>
    </w:p>
    <w:p>
      <w:pPr>
        <w:spacing w:after="0" w:line="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Cash used in investing activities was $84 million for the six months ended June 30, 2022 as compared to $69 million in the comparable prior year period. The increase in spending was driven by higher capital expenditures driven primarily by investments in equipment and rental fleet.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Cash used by financing activities was $158 million for the six months ended June 30, 2022 as compared to cash generated of $162 million in the comparable prior year period. The reduction in cash used was primarily driven by a decrease in share repurchases partially offset by higher dividend payments.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and Liquidity Strategy</w:t>
      </w:r>
    </w:p>
    <w:p>
      <w:pPr>
        <w:spacing w:after="0" w:line="1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ability to fund our capital needs depends on our ongoing ability to generate cash from operations and access to bank financing and the capital markets. As a result of uncertainties caused both directly and indirectly by the COVID-19 pandemic and related macroeconomic conditions, we continue to evaluate aspects of our spending, including capital expenditures, strategic investments and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2" w:name="page53"/>
    <w:bookmarkEnd w:id="52"/>
    <w:p>
      <w:pPr>
        <w:spacing w:after="0" w:line="255" w:lineRule="auto"/>
        <w:rPr>
          <w:sz w:val="20"/>
          <w:szCs w:val="20"/>
          <w:color w:val="auto"/>
        </w:rPr>
      </w:pPr>
      <w:r>
        <w:rPr>
          <w:rFonts w:ascii="Arial" w:cs="Arial" w:eastAsia="Arial" w:hAnsi="Arial"/>
          <w:sz w:val="18"/>
          <w:szCs w:val="18"/>
          <w:color w:val="auto"/>
        </w:rPr>
        <w:t>Historically, we have generated operating cash flow sufficient to fund our primary cash needs. 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10, "Credit Facilities and Debt", of our condensed consolidated financial statements for a description of limitations on obtaining additional funding.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monitor our global funding requirements and seek to meet our liquidity needs on a cost-effective basis.</w:t>
      </w:r>
    </w:p>
    <w:p>
      <w:pPr>
        <w:spacing w:after="0" w:line="104"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Based on our current global cash positions, cash flows from operations and access to the capital markets, we believe there is sufficient liquidity to meet our funding requirements and service debt and other obligations in both the U.S. and outside of the U.S. during the year. In addition, we believe our existing committed credit facilities and access to the public debt markets would provide further liquidity if required. Currently, we have available liquidity of approximately $1.9 billion, consisting of $1.1 billion of cash and $800 million of available credit facilities as disclosed in Note 10, "Credit Facilities and Debt", of our condensed consolidated financial statements. On October 1, 2021 our Senior Notes due 2021 were settled with cash on hand for a total of $600 million. Our next long-term debt maturity is March 2023.</w:t>
      </w:r>
    </w:p>
    <w:p>
      <w:pPr>
        <w:spacing w:after="0" w:line="84" w:lineRule="exact"/>
        <w:rPr>
          <w:sz w:val="20"/>
          <w:szCs w:val="20"/>
          <w:color w:val="auto"/>
        </w:rPr>
      </w:pPr>
    </w:p>
    <w:p>
      <w:pPr>
        <w:ind w:right="80"/>
        <w:spacing w:after="0" w:line="375" w:lineRule="auto"/>
        <w:rPr>
          <w:sz w:val="20"/>
          <w:szCs w:val="20"/>
          <w:color w:val="auto"/>
        </w:rPr>
      </w:pPr>
      <w:r>
        <w:rPr>
          <w:rFonts w:ascii="Arial" w:cs="Arial" w:eastAsia="Arial" w:hAnsi="Arial"/>
          <w:sz w:val="18"/>
          <w:szCs w:val="18"/>
          <w:color w:val="auto"/>
        </w:rPr>
        <w:t xml:space="preserve">Risks related to these items are described in our risk factor disclosures referenced under “Item 1A. Risk Factors" in our 2021 Annual Report. </w:t>
      </w:r>
      <w:r>
        <w:rPr>
          <w:rFonts w:ascii="Arial" w:cs="Arial" w:eastAsia="Arial" w:hAnsi="Arial"/>
          <w:sz w:val="18"/>
          <w:szCs w:val="18"/>
          <w:i w:val="1"/>
          <w:iCs w:val="1"/>
          <w:color w:val="auto"/>
        </w:rPr>
        <w:t>Credit Facilities &amp; Long-Term Contractual Commitments</w:t>
      </w:r>
    </w:p>
    <w:p>
      <w:pPr>
        <w:spacing w:after="0" w:line="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See Note 10, "Credit Facilities and Debt", of our condensed consolidated financial statements for a description of our credit facilities and long-term debt.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generated approximately 54% and 56% of our revenue from non-U.S. operations for the both three and six months ended June 30, 2022 and 2021, respectively. As we continue to grow our operations in the emerging markets and elsewhere outside of the U.S., we expect to continue to generate significant revenue from non-U.S. operations and expect that a substantial portion of our cash will be predominately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cost-effective to do so. We continually review our domestic and foreign cash profile, expected future cash generation and investment opportunities, and reassess whether there is a need to repatriate funds held internationally to support our U.S. operations. As of June 30, 2022, we have provided a deferred tax liability of $4 million for net foreign withholding taxes and state income taxes on $485 million of earnings expected to be repatriated to the U.S. parent as deemed necessary in the future.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discussion and analysis of our results of operations and capital resources are based on our condensed consolidated financial statements, which have been prepared in conformity with GAAP. The preparation of these condensed consolidated financial statements requires management to make estimates and assumptions that affect the reported amounts of assets, liabilities, revenue and expenses and the disclosure of contingent assets and liabilities. We believe the most complex and sensitive judgments, because of their significance to the condensed consolidated financial statements, result primarily from the need to make estimates about the effects of matters that are inherently uncertain, particularly at this time and moving forward given the uncertainty around the magnitude and duration of the COVID-19 pandemic and related macro economic conditions. Management’s Discussion and Analysis of Financial Condition and Results of Operations in the 2021 Annual Report describes the critical accounting estimates used in preparation of the condensed consolidated financial statements. Actual results in these areas could differ from management’s estimates. Other than as discussed below, there have been no significant changes in the information concerning our critical accounting estimates as stated in our 2021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jc w:val="both"/>
        <w:ind w:right="120"/>
        <w:spacing w:after="0" w:line="259" w:lineRule="auto"/>
        <w:rPr>
          <w:sz w:val="20"/>
          <w:szCs w:val="20"/>
          <w:color w:val="auto"/>
        </w:rPr>
      </w:pPr>
      <w:r>
        <w:rPr>
          <w:rFonts w:ascii="Arial" w:cs="Arial" w:eastAsia="Arial" w:hAnsi="Arial"/>
          <w:sz w:val="18"/>
          <w:szCs w:val="18"/>
          <w:color w:val="auto"/>
        </w:rPr>
        <w:t>The uncertainty of the future impact of the COVID-19 pandemic and related macroeconomic impacts, such as the increasing cost of capital, may contribute to the deterioration of the forecasted future cash flows of our reporting units. If we do not achieve our forecasts, it is possible that the goodwill of the Advanced Infrastructure Analytics ("AIA") reporting unit could be deemed to be impaired in a future period. The risks and potential impacts of COVID-19 on the fair value of our assets are included in our risk factor disclosures referenced under “Item 1A. Risk Factors" in the Company's 2021 Annual Report.</w:t>
      </w:r>
    </w:p>
    <w:p>
      <w:pPr>
        <w:spacing w:after="0" w:line="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color w:val="auto"/>
        </w:rPr>
        <w:t xml:space="preserve">Post-retirement Benefit Plans. </w:t>
      </w:r>
      <w:r>
        <w:rPr>
          <w:rFonts w:ascii="Arial" w:cs="Arial" w:eastAsia="Arial" w:hAnsi="Arial"/>
          <w:sz w:val="18"/>
          <w:szCs w:val="18"/>
          <w:color w:val="auto"/>
        </w:rPr>
        <w:t>As described in our 2021 Annual Report, the Company has initiated the process for a full buy-out of its</w:t>
      </w:r>
      <w:r>
        <w:rPr>
          <w:rFonts w:ascii="Arial" w:cs="Arial" w:eastAsia="Arial" w:hAnsi="Arial"/>
          <w:sz w:val="18"/>
          <w:szCs w:val="18"/>
          <w:b w:val="1"/>
          <w:bCs w:val="1"/>
          <w:color w:val="auto"/>
        </w:rPr>
        <w:t xml:space="preserve"> </w:t>
      </w:r>
      <w:r>
        <w:rPr>
          <w:rFonts w:ascii="Arial" w:cs="Arial" w:eastAsia="Arial" w:hAnsi="Arial"/>
          <w:sz w:val="18"/>
          <w:szCs w:val="18"/>
          <w:color w:val="auto"/>
        </w:rPr>
        <w:t>largest defined benefit plan in the UK. Upon completion of the buy-out, expected in the remaining period of 2022, we anticipate a settlement charge of approximately £125 million (approximately $150 million), primarily consisting of unrecognized actuarial losses.</w:t>
      </w:r>
    </w:p>
    <w:p>
      <w:pPr>
        <w:spacing w:after="0" w:line="200" w:lineRule="exact"/>
        <w:rPr>
          <w:sz w:val="20"/>
          <w:szCs w:val="20"/>
          <w:color w:val="auto"/>
        </w:rPr>
      </w:pPr>
    </w:p>
    <w:p>
      <w:pPr>
        <w:spacing w:after="0" w:line="21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concerning market risk as stated in our 2021 Annual Report.</w:t>
      </w:r>
    </w:p>
    <w:p>
      <w:pPr>
        <w:spacing w:after="0" w:line="200" w:lineRule="exact"/>
        <w:rPr>
          <w:sz w:val="20"/>
          <w:szCs w:val="20"/>
          <w:color w:val="auto"/>
        </w:rPr>
      </w:pPr>
    </w:p>
    <w:p>
      <w:pPr>
        <w:spacing w:after="0" w:line="24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management, with the participation of the Chief Executive Officer and Chief Financial Officer of the Company, has evaluated the effectiveness of our disclosure controls and procedures (as defined in Rules 13a-15(e) and 15d-15(e) under the Securities Exchange Act of 1934, as amended) as of the end of the period covered by this quarterly report. Any controls and procedures, no matter how well designed and operated, can provide only reasonable assurance of achieving the desired control objectives. Based on such evaluation, the Chief Executive Officer and Chief Financial Officer have concluded that, as of the end of the period covered by this report, the Company’s disclosure controls and procedures were effective at the reasonable assurance level.</w:t>
      </w:r>
    </w:p>
    <w:p>
      <w:pPr>
        <w:spacing w:after="0" w:line="12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previously-owned entities). These proceedings may seek remedies relating to matters including environmental, tax, intellectual property, acquisitions or divestitures, product liability, property damage, personal injury, privacy, employment, labor and pension, government contract issues and commercial or contractual disputes. See Note 16, "Commitments and Contingencies", to the condensed consolidated financial statements for further information and any updates.</w:t>
      </w:r>
    </w:p>
    <w:p>
      <w:pPr>
        <w:spacing w:after="0" w:line="200" w:lineRule="exact"/>
        <w:rPr>
          <w:sz w:val="20"/>
          <w:szCs w:val="20"/>
          <w:color w:val="auto"/>
        </w:rPr>
      </w:pPr>
    </w:p>
    <w:p>
      <w:pPr>
        <w:spacing w:after="0" w:line="22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"Item 1A. Risk Factors" of our 2021 Annual Report.</w:t>
      </w:r>
    </w:p>
    <w:p>
      <w:pPr>
        <w:spacing w:after="0" w:line="200" w:lineRule="exact"/>
        <w:rPr>
          <w:sz w:val="20"/>
          <w:szCs w:val="20"/>
          <w:color w:val="auto"/>
        </w:rPr>
      </w:pPr>
    </w:p>
    <w:p>
      <w:pPr>
        <w:spacing w:after="0" w:line="26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17" w:lineRule="exact"/>
        <w:rPr>
          <w:sz w:val="20"/>
          <w:szCs w:val="20"/>
          <w:color w:val="auto"/>
        </w:rPr>
      </w:pPr>
    </w:p>
    <w:p>
      <w:pPr>
        <w:ind w:right="640"/>
        <w:spacing w:after="0" w:line="279" w:lineRule="auto"/>
        <w:rPr>
          <w:sz w:val="20"/>
          <w:szCs w:val="20"/>
          <w:color w:val="auto"/>
        </w:rPr>
      </w:pPr>
      <w:r>
        <w:rPr>
          <w:rFonts w:ascii="Arial" w:cs="Arial" w:eastAsia="Arial" w:hAnsi="Arial"/>
          <w:sz w:val="18"/>
          <w:szCs w:val="18"/>
          <w:color w:val="auto"/>
        </w:rPr>
        <w:t>The following table presents information with respect to purchases of the Company's common stock by the Company during the three months ended June 30, 2022:</w:t>
      </w: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TOTAL NUMBER OF</w:t>
            </w:r>
          </w:p>
        </w:tc>
        <w:tc>
          <w:tcPr>
            <w:tcW w:w="208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4"/>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w:t>
            </w:r>
          </w:p>
        </w:tc>
        <w:tc>
          <w:tcPr>
            <w:tcW w:w="2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SHARES PURCHASED AS</w:t>
            </w:r>
          </w:p>
        </w:tc>
        <w:tc>
          <w:tcPr>
            <w:tcW w:w="2080" w:type="dxa"/>
            <w:vAlign w:val="bottom"/>
          </w:tcPr>
          <w:p>
            <w:pPr>
              <w:jc w:val="center"/>
              <w:ind w:left="21"/>
              <w:spacing w:after="0" w:line="145"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39"/>
        </w:trPr>
        <w:tc>
          <w:tcPr>
            <w:tcW w:w="2760" w:type="dxa"/>
            <w:vAlign w:val="bottom"/>
            <w:vMerge w:val="continue"/>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 PRICE PAID PER</w:t>
            </w:r>
          </w:p>
        </w:tc>
        <w:tc>
          <w:tcPr>
            <w:tcW w:w="2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PART OF PUBLICLY</w:t>
            </w:r>
          </w:p>
        </w:tc>
        <w:tc>
          <w:tcPr>
            <w:tcW w:w="2080" w:type="dxa"/>
            <w:vAlign w:val="bottom"/>
          </w:tcPr>
          <w:p>
            <w:pPr>
              <w:jc w:val="center"/>
              <w:ind w:left="21"/>
              <w:spacing w:after="0" w:line="139"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44"/>
        </w:trPr>
        <w:tc>
          <w:tcPr>
            <w:tcW w:w="276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AMOUNTS)</w:t>
            </w:r>
          </w:p>
        </w:tc>
        <w:tc>
          <w:tcPr>
            <w:tcW w:w="206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2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ANNOUNCED PLANS OR</w:t>
            </w:r>
          </w:p>
        </w:tc>
        <w:tc>
          <w:tcPr>
            <w:tcW w:w="2080" w:type="dxa"/>
            <w:vAlign w:val="bottom"/>
          </w:tcPr>
          <w:p>
            <w:pPr>
              <w:jc w:val="center"/>
              <w:ind w:left="21"/>
              <w:spacing w:after="0" w:line="145"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 (a)</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 (b)</w:t>
            </w:r>
          </w:p>
        </w:tc>
        <w:tc>
          <w:tcPr>
            <w:tcW w:w="20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PROGRAMS (b)</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4/1/22 - 4/30/22</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5/1/22 - 5/31/22</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6/1/22 - 6/30/22</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400"/>
        <w:spacing w:after="0" w:line="286" w:lineRule="auto"/>
        <w:rPr>
          <w:sz w:val="20"/>
          <w:szCs w:val="20"/>
          <w:color w:val="auto"/>
        </w:rPr>
      </w:pPr>
      <w:r>
        <w:rPr>
          <w:rFonts w:ascii="Arial" w:cs="Arial" w:eastAsia="Arial" w:hAnsi="Arial"/>
          <w:sz w:val="16"/>
          <w:szCs w:val="16"/>
          <w:color w:val="auto"/>
        </w:rPr>
        <w:t>This table does not include shares tendered to satisfy the exercise price in connection with cashless exercises of employee stock options or shares tendered to satisfy tax withholding obligations in connection with employee equity awards.</w:t>
      </w:r>
    </w:p>
    <w:p>
      <w:pPr>
        <w:spacing w:after="0" w:line="48"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Average price paid per share is calculated on a settlement basis.</w:t>
      </w:r>
    </w:p>
    <w:p>
      <w:pPr>
        <w:spacing w:after="0" w:line="126" w:lineRule="exact"/>
        <w:rPr>
          <w:rFonts w:ascii="Arial" w:cs="Arial" w:eastAsia="Arial" w:hAnsi="Arial"/>
          <w:sz w:val="16"/>
          <w:szCs w:val="16"/>
          <w:color w:val="auto"/>
        </w:rPr>
      </w:pPr>
    </w:p>
    <w:p>
      <w:pPr>
        <w:ind w:left="340" w:right="40" w:hanging="332"/>
        <w:spacing w:after="0" w:line="271"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On August 24, 2015, our Board of Directors authorized the repurchase of up to $500 million in shares with no expiration date. The program's objective is to deploy our capital in a manner that benefits our </w:t>
      </w:r>
      <w:r>
        <w:rPr>
          <w:rFonts w:ascii="Arial" w:cs="Arial" w:eastAsia="Arial" w:hAnsi="Arial"/>
          <w:sz w:val="17"/>
          <w:szCs w:val="17"/>
          <w:color w:val="auto"/>
        </w:rPr>
        <w:t>stockholders</w:t>
      </w:r>
      <w:r>
        <w:rPr>
          <w:rFonts w:ascii="Arial" w:cs="Arial" w:eastAsia="Arial" w:hAnsi="Arial"/>
          <w:sz w:val="16"/>
          <w:szCs w:val="16"/>
          <w:color w:val="auto"/>
        </w:rPr>
        <w:t xml:space="preserve"> and maintains our focus on growth. There were no shares repurchased under this program for the three months ended June 30, 2022. There are up to $182 million in shares that may still be purchased under this plan as of June 30, 2022.</w:t>
      </w:r>
    </w:p>
    <w:p>
      <w:pPr>
        <w:spacing w:after="0" w:line="29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for a list of exhibits filed as part of this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XYLEM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Exhibit</w:t>
            </w:r>
          </w:p>
        </w:tc>
        <w:tc>
          <w:tcPr>
            <w:tcW w:w="502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Description</w:t>
            </w:r>
          </w:p>
        </w:tc>
        <w:tc>
          <w:tcPr>
            <w:tcW w:w="5320" w:type="dxa"/>
            <w:vAlign w:val="bottom"/>
            <w:vMerge w:val="restart"/>
          </w:tcPr>
          <w:p>
            <w:pPr>
              <w:ind w:left="238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5"/>
        </w:trPr>
        <w:tc>
          <w:tcPr>
            <w:tcW w:w="9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rPr>
              <w:t>Number</w:t>
            </w:r>
          </w:p>
        </w:tc>
        <w:tc>
          <w:tcPr>
            <w:tcW w:w="5020" w:type="dxa"/>
            <w:vAlign w:val="bottom"/>
            <w:tcBorders>
              <w:bottom w:val="single" w:sz="8" w:color="auto"/>
            </w:tcBorders>
            <w:vMerge w:val="continue"/>
          </w:tcPr>
          <w:p>
            <w:pPr>
              <w:spacing w:after="0"/>
              <w:rPr>
                <w:sz w:val="16"/>
                <w:szCs w:val="16"/>
                <w:color w:val="auto"/>
              </w:rPr>
            </w:pPr>
          </w:p>
        </w:tc>
        <w:tc>
          <w:tcPr>
            <w:tcW w:w="5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gridSpan w:val="4"/>
          </w:tcPr>
          <w:p>
            <w:pPr>
              <w:jc w:val="center"/>
              <w:ind w:left="173"/>
              <w:spacing w:after="0"/>
              <w:rPr>
                <w:rFonts w:ascii="Arial" w:cs="Arial" w:eastAsia="Arial" w:hAnsi="Arial"/>
                <w:sz w:val="18"/>
                <w:szCs w:val="18"/>
                <w:color w:val="0000FF"/>
              </w:rPr>
            </w:pPr>
            <w:hyperlink r:id="rId73">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30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Fourth Amended and Restated Articles of Incorporation of</w:t>
            </w:r>
          </w:p>
        </w:tc>
        <w:tc>
          <w:tcPr>
            <w:tcW w:w="5320" w:type="dxa"/>
            <w:vAlign w:val="bottom"/>
          </w:tcPr>
          <w:p>
            <w:pPr>
              <w:ind w:left="80"/>
              <w:spacing w:after="0"/>
              <w:rPr>
                <w:sz w:val="20"/>
                <w:szCs w:val="20"/>
                <w:color w:val="auto"/>
              </w:rPr>
            </w:pPr>
            <w:r>
              <w:rPr>
                <w:rFonts w:ascii="Arial" w:cs="Arial" w:eastAsia="Arial" w:hAnsi="Arial"/>
                <w:sz w:val="18"/>
                <w:szCs w:val="18"/>
                <w:color w:val="auto"/>
              </w:rPr>
              <w:t>Incorporated by reference to Exhibit 3.1 of Xylem Inc.’s Form 8-K</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Xylem Inc.</w:t>
            </w:r>
          </w:p>
        </w:tc>
        <w:tc>
          <w:tcPr>
            <w:tcW w:w="5320" w:type="dxa"/>
            <w:vAlign w:val="bottom"/>
          </w:tcPr>
          <w:p>
            <w:pPr>
              <w:ind w:left="80"/>
              <w:spacing w:after="0"/>
              <w:rPr>
                <w:sz w:val="20"/>
                <w:szCs w:val="20"/>
                <w:color w:val="auto"/>
              </w:rPr>
            </w:pPr>
            <w:r>
              <w:rPr>
                <w:rFonts w:ascii="Arial" w:cs="Arial" w:eastAsia="Arial" w:hAnsi="Arial"/>
                <w:sz w:val="18"/>
                <w:szCs w:val="18"/>
                <w:color w:val="auto"/>
              </w:rPr>
              <w:t>filed on May 15, 2017 (CIK No. 1524472, File No. 1-35229).</w:t>
            </w:r>
          </w:p>
        </w:tc>
        <w:tc>
          <w:tcPr>
            <w:tcW w:w="0" w:type="dxa"/>
            <w:vAlign w:val="bottom"/>
          </w:tcPr>
          <w:p>
            <w:pPr>
              <w:spacing w:after="0"/>
              <w:rPr>
                <w:sz w:val="1"/>
                <w:szCs w:val="1"/>
                <w:color w:val="auto"/>
              </w:rPr>
            </w:pPr>
          </w:p>
        </w:tc>
      </w:tr>
      <w:tr>
        <w:trPr>
          <w:trHeight w:val="241"/>
        </w:trPr>
        <w:tc>
          <w:tcPr>
            <w:tcW w:w="600" w:type="dxa"/>
            <w:vAlign w:val="bottom"/>
            <w:gridSpan w:val="4"/>
          </w:tcPr>
          <w:p>
            <w:pPr>
              <w:jc w:val="center"/>
              <w:ind w:left="173"/>
              <w:spacing w:after="0"/>
              <w:rPr>
                <w:rFonts w:ascii="Arial" w:cs="Arial" w:eastAsia="Arial" w:hAnsi="Arial"/>
                <w:sz w:val="18"/>
                <w:szCs w:val="18"/>
                <w:color w:val="0000FF"/>
              </w:rPr>
            </w:pPr>
            <w:hyperlink r:id="rId74">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300" w:type="dxa"/>
            <w:vAlign w:val="bottom"/>
          </w:tcPr>
          <w:p>
            <w:pPr>
              <w:spacing w:after="0"/>
              <w:rPr>
                <w:sz w:val="20"/>
                <w:szCs w:val="20"/>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Fourth Amended and Restated By-laws of Xylem Inc.</w:t>
            </w:r>
          </w:p>
        </w:tc>
        <w:tc>
          <w:tcPr>
            <w:tcW w:w="5320" w:type="dxa"/>
            <w:vAlign w:val="bottom"/>
          </w:tcPr>
          <w:p>
            <w:pPr>
              <w:ind w:left="80"/>
              <w:spacing w:after="0"/>
              <w:rPr>
                <w:sz w:val="20"/>
                <w:szCs w:val="20"/>
                <w:color w:val="auto"/>
              </w:rPr>
            </w:pPr>
            <w:r>
              <w:rPr>
                <w:rFonts w:ascii="Arial" w:cs="Arial" w:eastAsia="Arial" w:hAnsi="Arial"/>
                <w:sz w:val="18"/>
                <w:szCs w:val="18"/>
                <w:color w:val="auto"/>
              </w:rPr>
              <w:t>Incorporated by reference to Exhibit 3.2 of Xylem Inc.’s Form 8-K</w:t>
            </w:r>
          </w:p>
        </w:tc>
        <w:tc>
          <w:tcPr>
            <w:tcW w:w="0" w:type="dxa"/>
            <w:vAlign w:val="bottom"/>
          </w:tcPr>
          <w:p>
            <w:pPr>
              <w:spacing w:after="0"/>
              <w:rPr>
                <w:sz w:val="1"/>
                <w:szCs w:val="1"/>
                <w:color w:val="auto"/>
              </w:rPr>
            </w:pPr>
          </w:p>
        </w:tc>
      </w:tr>
      <w:tr>
        <w:trPr>
          <w:trHeight w:val="212"/>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Arial" w:cs="Arial" w:eastAsia="Arial" w:hAnsi="Arial"/>
                <w:sz w:val="18"/>
                <w:szCs w:val="18"/>
                <w:color w:val="auto"/>
              </w:rPr>
              <w:t>filed on May 15, 2017 (CIK No. 1524472, File No. 1-35229).</w:t>
            </w:r>
          </w:p>
        </w:tc>
        <w:tc>
          <w:tcPr>
            <w:tcW w:w="0" w:type="dxa"/>
            <w:vAlign w:val="bottom"/>
          </w:tcPr>
          <w:p>
            <w:pPr>
              <w:spacing w:after="0"/>
              <w:rPr>
                <w:sz w:val="1"/>
                <w:szCs w:val="1"/>
                <w:color w:val="auto"/>
              </w:rPr>
            </w:pPr>
          </w:p>
        </w:tc>
      </w:tr>
      <w:tr>
        <w:trPr>
          <w:trHeight w:val="301"/>
        </w:trPr>
        <w:tc>
          <w:tcPr>
            <w:tcW w:w="900" w:type="dxa"/>
            <w:vAlign w:val="bottom"/>
            <w:gridSpan w:val="5"/>
          </w:tcPr>
          <w:p>
            <w:pPr>
              <w:jc w:val="center"/>
              <w:ind w:right="40"/>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Annual Incentive Plan for Senior Leadership Team (Formerly Filed herewith.</w:t>
            </w:r>
          </w:p>
        </w:tc>
        <w:tc>
          <w:tcPr>
            <w:tcW w:w="0" w:type="dxa"/>
            <w:vAlign w:val="bottom"/>
          </w:tcPr>
          <w:p>
            <w:pPr>
              <w:spacing w:after="0"/>
              <w:rPr>
                <w:sz w:val="1"/>
                <w:szCs w:val="1"/>
                <w:color w:val="auto"/>
              </w:rPr>
            </w:pPr>
          </w:p>
        </w:tc>
      </w:tr>
      <w:tr>
        <w:trPr>
          <w:trHeight w:val="191"/>
        </w:trPr>
        <w:tc>
          <w:tcPr>
            <w:tcW w:w="26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300" w:type="dxa"/>
            <w:vAlign w:val="bottom"/>
          </w:tcPr>
          <w:p>
            <w:pPr>
              <w:spacing w:after="0"/>
              <w:rPr>
                <w:sz w:val="16"/>
                <w:szCs w:val="16"/>
                <w:color w:val="auto"/>
              </w:rPr>
            </w:pPr>
          </w:p>
        </w:tc>
        <w:tc>
          <w:tcPr>
            <w:tcW w:w="5020" w:type="dxa"/>
            <w:vAlign w:val="bottom"/>
          </w:tcPr>
          <w:p>
            <w:pPr>
              <w:ind w:left="200"/>
              <w:spacing w:after="0" w:line="191" w:lineRule="exact"/>
              <w:rPr>
                <w:sz w:val="20"/>
                <w:szCs w:val="20"/>
                <w:color w:val="auto"/>
              </w:rPr>
            </w:pPr>
            <w:r>
              <w:rPr>
                <w:rFonts w:ascii="Arial" w:cs="Arial" w:eastAsia="Arial" w:hAnsi="Arial"/>
                <w:sz w:val="18"/>
                <w:szCs w:val="18"/>
                <w:color w:val="auto"/>
              </w:rPr>
              <w:t>"Annual Incentive Plan for Executive Officers") restated with</w:t>
            </w:r>
          </w:p>
        </w:tc>
        <w:tc>
          <w:tcPr>
            <w:tcW w:w="5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administrative changes only, on July 11, 2022</w:t>
            </w:r>
          </w:p>
        </w:tc>
        <w:tc>
          <w:tcPr>
            <w:tcW w:w="5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900" w:type="dxa"/>
            <w:vAlign w:val="bottom"/>
            <w:gridSpan w:val="5"/>
          </w:tcPr>
          <w:p>
            <w:pPr>
              <w:jc w:val="center"/>
              <w:ind w:right="40"/>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2</w:t>
            </w:r>
          </w:p>
        </w:tc>
        <w:tc>
          <w:tcPr>
            <w:tcW w:w="5020" w:type="dxa"/>
            <w:vAlign w:val="bottom"/>
          </w:tcPr>
          <w:p>
            <w:pPr>
              <w:ind w:left="200"/>
              <w:spacing w:after="0"/>
              <w:rPr>
                <w:sz w:val="20"/>
                <w:szCs w:val="20"/>
                <w:color w:val="auto"/>
              </w:rPr>
            </w:pPr>
            <w:r>
              <w:rPr>
                <w:rFonts w:ascii="Arial" w:cs="Arial" w:eastAsia="Arial" w:hAnsi="Arial"/>
                <w:sz w:val="18"/>
                <w:szCs w:val="18"/>
                <w:color w:val="auto"/>
              </w:rPr>
              <w:t>Xylem Special Senior Executive Severance Pay Plan</w:t>
            </w:r>
          </w:p>
        </w:tc>
        <w:tc>
          <w:tcPr>
            <w:tcW w:w="5320" w:type="dxa"/>
            <w:vAlign w:val="bottom"/>
          </w:tcPr>
          <w:p>
            <w:pPr>
              <w:ind w:left="8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restated with administrative changes only, on July 11, 2022</w:t>
            </w:r>
          </w:p>
        </w:tc>
        <w:tc>
          <w:tcPr>
            <w:tcW w:w="5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900" w:type="dxa"/>
            <w:vAlign w:val="bottom"/>
            <w:gridSpan w:val="5"/>
          </w:tcPr>
          <w:p>
            <w:pPr>
              <w:jc w:val="center"/>
              <w:ind w:right="40"/>
              <w:spacing w:after="0"/>
              <w:rPr>
                <w:sz w:val="20"/>
                <w:szCs w:val="20"/>
                <w:color w:val="auto"/>
              </w:rPr>
            </w:pPr>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3</w:t>
            </w:r>
          </w:p>
        </w:tc>
        <w:tc>
          <w:tcPr>
            <w:tcW w:w="5020" w:type="dxa"/>
            <w:vAlign w:val="bottom"/>
          </w:tcPr>
          <w:p>
            <w:pPr>
              <w:ind w:left="200"/>
              <w:spacing w:after="0"/>
              <w:rPr>
                <w:sz w:val="20"/>
                <w:szCs w:val="20"/>
                <w:color w:val="auto"/>
              </w:rPr>
            </w:pPr>
            <w:r>
              <w:rPr>
                <w:rFonts w:ascii="Arial" w:cs="Arial" w:eastAsia="Arial" w:hAnsi="Arial"/>
                <w:sz w:val="18"/>
                <w:szCs w:val="18"/>
                <w:color w:val="auto"/>
              </w:rPr>
              <w:t>Separation Agreement between Xylem Inc. and Colin R.</w:t>
            </w:r>
          </w:p>
        </w:tc>
        <w:tc>
          <w:tcPr>
            <w:tcW w:w="5320" w:type="dxa"/>
            <w:vAlign w:val="bottom"/>
          </w:tcPr>
          <w:p>
            <w:pPr>
              <w:ind w:left="8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Sabol</w:t>
            </w: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00" w:type="dxa"/>
            <w:vAlign w:val="bottom"/>
            <w:gridSpan w:val="5"/>
          </w:tcPr>
          <w:p>
            <w:pPr>
              <w:jc w:val="center"/>
              <w:ind w:right="40"/>
              <w:spacing w:after="0" w:line="181" w:lineRule="exact"/>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p>
        </w:tc>
        <w:tc>
          <w:tcPr>
            <w:tcW w:w="5020" w:type="dxa"/>
            <w:vAlign w:val="bottom"/>
          </w:tcPr>
          <w:p>
            <w:pPr>
              <w:ind w:left="200"/>
              <w:spacing w:after="0" w:line="181" w:lineRule="exact"/>
              <w:rPr>
                <w:sz w:val="20"/>
                <w:szCs w:val="20"/>
                <w:color w:val="auto"/>
              </w:rPr>
            </w:pPr>
            <w:r>
              <w:rPr>
                <w:rFonts w:ascii="Arial" w:cs="Arial" w:eastAsia="Arial" w:hAnsi="Arial"/>
                <w:sz w:val="18"/>
                <w:szCs w:val="18"/>
                <w:color w:val="auto"/>
              </w:rPr>
              <w:t>Certification pursuant to Rule 13a-14(a)/15d-14(a) of the</w:t>
            </w:r>
          </w:p>
        </w:tc>
        <w:tc>
          <w:tcPr>
            <w:tcW w:w="5320" w:type="dxa"/>
            <w:vAlign w:val="bottom"/>
          </w:tcPr>
          <w:p>
            <w:pPr>
              <w:ind w:left="80"/>
              <w:spacing w:after="0" w:line="181"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5020" w:type="dxa"/>
            <w:vAlign w:val="bottom"/>
          </w:tcPr>
          <w:p>
            <w:pPr>
              <w:ind w:left="200"/>
              <w:spacing w:after="0" w:line="157" w:lineRule="exact"/>
              <w:rPr>
                <w:sz w:val="20"/>
                <w:szCs w:val="20"/>
                <w:color w:val="auto"/>
              </w:rPr>
            </w:pPr>
            <w:r>
              <w:rPr>
                <w:rFonts w:ascii="Arial" w:cs="Arial" w:eastAsia="Arial" w:hAnsi="Arial"/>
                <w:sz w:val="18"/>
                <w:szCs w:val="18"/>
                <w:color w:val="auto"/>
              </w:rPr>
              <w:t>Securities Exchange Act of 1934, as adopted pursuant to</w:t>
            </w:r>
          </w:p>
        </w:tc>
        <w:tc>
          <w:tcPr>
            <w:tcW w:w="5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Section 302 of the Sarbanes-Oxley Act of 2002</w:t>
            </w:r>
          </w:p>
        </w:tc>
        <w:tc>
          <w:tcPr>
            <w:tcW w:w="5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00" w:type="dxa"/>
            <w:vAlign w:val="bottom"/>
            <w:gridSpan w:val="5"/>
          </w:tcPr>
          <w:p>
            <w:pPr>
              <w:jc w:val="center"/>
              <w:ind w:right="40"/>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p>
        </w:tc>
        <w:tc>
          <w:tcPr>
            <w:tcW w:w="5020" w:type="dxa"/>
            <w:vAlign w:val="bottom"/>
          </w:tcPr>
          <w:p>
            <w:pPr>
              <w:ind w:left="200"/>
              <w:spacing w:after="0"/>
              <w:rPr>
                <w:sz w:val="20"/>
                <w:szCs w:val="20"/>
                <w:color w:val="auto"/>
              </w:rPr>
            </w:pPr>
            <w:r>
              <w:rPr>
                <w:rFonts w:ascii="Arial" w:cs="Arial" w:eastAsia="Arial" w:hAnsi="Arial"/>
                <w:sz w:val="18"/>
                <w:szCs w:val="18"/>
                <w:color w:val="auto"/>
              </w:rPr>
              <w:t>Certification pursuant to Rule 13a-14(a)/15d-14(a) of the</w:t>
            </w:r>
          </w:p>
        </w:tc>
        <w:tc>
          <w:tcPr>
            <w:tcW w:w="5320" w:type="dxa"/>
            <w:vAlign w:val="bottom"/>
          </w:tcPr>
          <w:p>
            <w:pPr>
              <w:ind w:left="8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5020" w:type="dxa"/>
            <w:vAlign w:val="bottom"/>
          </w:tcPr>
          <w:p>
            <w:pPr>
              <w:ind w:left="200"/>
              <w:spacing w:after="0" w:line="157" w:lineRule="exact"/>
              <w:rPr>
                <w:sz w:val="20"/>
                <w:szCs w:val="20"/>
                <w:color w:val="auto"/>
              </w:rPr>
            </w:pPr>
            <w:r>
              <w:rPr>
                <w:rFonts w:ascii="Arial" w:cs="Arial" w:eastAsia="Arial" w:hAnsi="Arial"/>
                <w:sz w:val="18"/>
                <w:szCs w:val="18"/>
                <w:color w:val="auto"/>
              </w:rPr>
              <w:t>Securities Exchange Act of 1934, as adopted pursuant to</w:t>
            </w:r>
          </w:p>
        </w:tc>
        <w:tc>
          <w:tcPr>
            <w:tcW w:w="5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Section 302 of the Sarbanes-Oxley Act of 2002</w:t>
            </w:r>
          </w:p>
        </w:tc>
        <w:tc>
          <w:tcPr>
            <w:tcW w:w="5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900" w:type="dxa"/>
            <w:vAlign w:val="bottom"/>
            <w:gridSpan w:val="5"/>
          </w:tcPr>
          <w:p>
            <w:pPr>
              <w:jc w:val="center"/>
              <w:ind w:right="40"/>
              <w:spacing w:after="0"/>
              <w:rPr>
                <w:sz w:val="20"/>
                <w:szCs w:val="20"/>
                <w:color w:val="auto"/>
              </w:rPr>
            </w:pPr>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Certification Pursuant to 18 U.S.C. Section 1350, as adopted This Exhibit is intended to be furnished in accordance with</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Pr>
          <w:p>
            <w:pPr>
              <w:spacing w:after="0"/>
              <w:rPr>
                <w:sz w:val="13"/>
                <w:szCs w:val="13"/>
                <w:color w:val="auto"/>
              </w:rPr>
            </w:pPr>
          </w:p>
        </w:tc>
        <w:tc>
          <w:tcPr>
            <w:tcW w:w="5020" w:type="dxa"/>
            <w:vAlign w:val="bottom"/>
          </w:tcPr>
          <w:p>
            <w:pPr>
              <w:ind w:left="200"/>
              <w:spacing w:after="0" w:line="157" w:lineRule="exact"/>
              <w:rPr>
                <w:sz w:val="20"/>
                <w:szCs w:val="20"/>
                <w:color w:val="auto"/>
              </w:rPr>
            </w:pPr>
            <w:r>
              <w:rPr>
                <w:rFonts w:ascii="Arial" w:cs="Arial" w:eastAsia="Arial" w:hAnsi="Arial"/>
                <w:sz w:val="18"/>
                <w:szCs w:val="18"/>
                <w:color w:val="auto"/>
              </w:rPr>
              <w:t>pursuant to Section 906 of the Sarbanes-Oxley Act of 2002</w:t>
            </w:r>
          </w:p>
        </w:tc>
        <w:tc>
          <w:tcPr>
            <w:tcW w:w="5320" w:type="dxa"/>
            <w:vAlign w:val="bottom"/>
          </w:tcPr>
          <w:p>
            <w:pPr>
              <w:ind w:left="80"/>
              <w:spacing w:after="0" w:line="157" w:lineRule="exact"/>
              <w:rPr>
                <w:sz w:val="20"/>
                <w:szCs w:val="20"/>
                <w:color w:val="auto"/>
              </w:rPr>
            </w:pPr>
            <w:r>
              <w:rPr>
                <w:rFonts w:ascii="Arial" w:cs="Arial" w:eastAsia="Arial" w:hAnsi="Arial"/>
                <w:sz w:val="18"/>
                <w:szCs w:val="18"/>
                <w:color w:val="auto"/>
              </w:rPr>
              <w:t>Regulation S-K Item 601(b) (32) (ii) and shall not be deemed to</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5320" w:type="dxa"/>
            <w:vAlign w:val="bottom"/>
          </w:tcPr>
          <w:p>
            <w:pPr>
              <w:ind w:left="80"/>
              <w:spacing w:after="0" w:line="181" w:lineRule="exact"/>
              <w:rPr>
                <w:sz w:val="20"/>
                <w:szCs w:val="20"/>
                <w:color w:val="auto"/>
              </w:rPr>
            </w:pPr>
            <w:r>
              <w:rPr>
                <w:rFonts w:ascii="Arial" w:cs="Arial" w:eastAsia="Arial" w:hAnsi="Arial"/>
                <w:sz w:val="18"/>
                <w:szCs w:val="18"/>
                <w:color w:val="auto"/>
              </w:rPr>
              <w:t>be filed for purposes of Section 18 of the Securities Exchange</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5320" w:type="dxa"/>
            <w:vAlign w:val="bottom"/>
          </w:tcPr>
          <w:p>
            <w:pPr>
              <w:ind w:left="80"/>
              <w:spacing w:after="0" w:line="176" w:lineRule="exact"/>
              <w:rPr>
                <w:sz w:val="20"/>
                <w:szCs w:val="20"/>
                <w:color w:val="auto"/>
              </w:rPr>
            </w:pPr>
            <w:r>
              <w:rPr>
                <w:rFonts w:ascii="Arial" w:cs="Arial" w:eastAsia="Arial" w:hAnsi="Arial"/>
                <w:sz w:val="18"/>
                <w:szCs w:val="18"/>
                <w:color w:val="auto"/>
              </w:rPr>
              <w:t>Act of 1934 or incorporated by reference into any filing under the</w:t>
            </w:r>
          </w:p>
        </w:tc>
        <w:tc>
          <w:tcPr>
            <w:tcW w:w="0" w:type="dxa"/>
            <w:vAlign w:val="bottom"/>
          </w:tcPr>
          <w:p>
            <w:pPr>
              <w:spacing w:after="0"/>
              <w:rPr>
                <w:sz w:val="1"/>
                <w:szCs w:val="1"/>
                <w:color w:val="auto"/>
              </w:rPr>
            </w:pPr>
          </w:p>
        </w:tc>
      </w:tr>
      <w:tr>
        <w:trPr>
          <w:trHeight w:val="184"/>
        </w:trPr>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5320" w:type="dxa"/>
            <w:vAlign w:val="bottom"/>
          </w:tcPr>
          <w:p>
            <w:pPr>
              <w:ind w:left="80"/>
              <w:spacing w:after="0" w:line="183" w:lineRule="exact"/>
              <w:rPr>
                <w:sz w:val="20"/>
                <w:szCs w:val="20"/>
                <w:color w:val="auto"/>
              </w:rPr>
            </w:pPr>
            <w:r>
              <w:rPr>
                <w:rFonts w:ascii="Arial" w:cs="Arial" w:eastAsia="Arial" w:hAnsi="Arial"/>
                <w:sz w:val="18"/>
                <w:szCs w:val="18"/>
                <w:color w:val="auto"/>
              </w:rPr>
              <w:t>Securities Act of 1933 or the Securities Exchange Act of 1934,</w:t>
            </w: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5320" w:type="dxa"/>
            <w:vAlign w:val="bottom"/>
          </w:tcPr>
          <w:p>
            <w:pPr>
              <w:ind w:left="80"/>
              <w:spacing w:after="0"/>
              <w:rPr>
                <w:sz w:val="20"/>
                <w:szCs w:val="20"/>
                <w:color w:val="auto"/>
              </w:rPr>
            </w:pPr>
            <w:r>
              <w:rPr>
                <w:rFonts w:ascii="Arial" w:cs="Arial" w:eastAsia="Arial" w:hAnsi="Arial"/>
                <w:sz w:val="18"/>
                <w:szCs w:val="18"/>
                <w:color w:val="auto"/>
              </w:rPr>
              <w:t>except as shall be expressly set forth by specific reference.</w:t>
            </w:r>
          </w:p>
        </w:tc>
        <w:tc>
          <w:tcPr>
            <w:tcW w:w="0" w:type="dxa"/>
            <w:vAlign w:val="bottom"/>
          </w:tcPr>
          <w:p>
            <w:pPr>
              <w:spacing w:after="0"/>
              <w:rPr>
                <w:sz w:val="1"/>
                <w:szCs w:val="1"/>
                <w:color w:val="auto"/>
              </w:rPr>
            </w:pPr>
          </w:p>
        </w:tc>
      </w:tr>
      <w:tr>
        <w:trPr>
          <w:trHeight w:val="233"/>
        </w:trPr>
        <w:tc>
          <w:tcPr>
            <w:tcW w:w="900" w:type="dxa"/>
            <w:vAlign w:val="bottom"/>
            <w:gridSpan w:val="5"/>
          </w:tcPr>
          <w:p>
            <w:pPr>
              <w:jc w:val="center"/>
              <w:ind w:right="40"/>
              <w:spacing w:after="0"/>
              <w:rPr>
                <w:sz w:val="20"/>
                <w:szCs w:val="20"/>
                <w:color w:val="auto"/>
              </w:rPr>
            </w:pPr>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2</w:t>
            </w:r>
          </w:p>
        </w:tc>
        <w:tc>
          <w:tcPr>
            <w:tcW w:w="10340" w:type="dxa"/>
            <w:vAlign w:val="bottom"/>
            <w:gridSpan w:val="2"/>
          </w:tcPr>
          <w:p>
            <w:pPr>
              <w:ind w:left="200"/>
              <w:spacing w:after="0"/>
              <w:rPr>
                <w:sz w:val="20"/>
                <w:szCs w:val="20"/>
                <w:color w:val="auto"/>
              </w:rPr>
            </w:pPr>
            <w:r>
              <w:rPr>
                <w:rFonts w:ascii="Arial" w:cs="Arial" w:eastAsia="Arial" w:hAnsi="Arial"/>
                <w:sz w:val="18"/>
                <w:szCs w:val="18"/>
                <w:color w:val="auto"/>
              </w:rPr>
              <w:t>Certification Pursuant to 18 U.S.C. Section 1350, as adopted This Exhibit is intended to be furnished in accordance with</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00" w:type="dxa"/>
            <w:vAlign w:val="bottom"/>
          </w:tcPr>
          <w:p>
            <w:pPr>
              <w:spacing w:after="0"/>
              <w:rPr>
                <w:sz w:val="15"/>
                <w:szCs w:val="15"/>
                <w:color w:val="auto"/>
              </w:rPr>
            </w:pPr>
          </w:p>
        </w:tc>
        <w:tc>
          <w:tcPr>
            <w:tcW w:w="5020" w:type="dxa"/>
            <w:vAlign w:val="bottom"/>
          </w:tcPr>
          <w:p>
            <w:pPr>
              <w:ind w:left="200"/>
              <w:spacing w:after="0" w:line="175" w:lineRule="exact"/>
              <w:rPr>
                <w:sz w:val="20"/>
                <w:szCs w:val="20"/>
                <w:color w:val="auto"/>
              </w:rPr>
            </w:pPr>
            <w:r>
              <w:rPr>
                <w:rFonts w:ascii="Arial" w:cs="Arial" w:eastAsia="Arial" w:hAnsi="Arial"/>
                <w:sz w:val="18"/>
                <w:szCs w:val="18"/>
                <w:color w:val="auto"/>
              </w:rPr>
              <w:t>pursuant to Section 906 of the Sarbanes-Oxley Act of 2002</w:t>
            </w:r>
          </w:p>
        </w:tc>
        <w:tc>
          <w:tcPr>
            <w:tcW w:w="5320" w:type="dxa"/>
            <w:vAlign w:val="bottom"/>
          </w:tcPr>
          <w:p>
            <w:pPr>
              <w:ind w:left="80"/>
              <w:spacing w:after="0" w:line="175" w:lineRule="exact"/>
              <w:rPr>
                <w:sz w:val="20"/>
                <w:szCs w:val="20"/>
                <w:color w:val="auto"/>
              </w:rPr>
            </w:pPr>
            <w:r>
              <w:rPr>
                <w:rFonts w:ascii="Arial" w:cs="Arial" w:eastAsia="Arial" w:hAnsi="Arial"/>
                <w:sz w:val="18"/>
                <w:szCs w:val="18"/>
                <w:color w:val="auto"/>
              </w:rPr>
              <w:t>Regulation S-K Item 601(b) (32) (ii) and shall not be deemed to</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00" w:right="80" w:hanging="890"/>
        <w:spacing w:after="0" w:line="234" w:lineRule="auto"/>
        <w:tabs>
          <w:tab w:leader="none" w:pos="10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The following materials from Xylem Inc.’s Quarterly Report on Form 10-Q for the quarterly period ended June 30, 2022,</w:t>
      </w:r>
    </w:p>
    <w:p>
      <w:pPr>
        <w:spacing w:after="0" w:line="1" w:lineRule="exact"/>
        <w:rPr>
          <w:sz w:val="20"/>
          <w:szCs w:val="20"/>
          <w:color w:val="auto"/>
        </w:rPr>
      </w:pPr>
    </w:p>
    <w:p>
      <w:pPr>
        <w:ind w:left="1100" w:right="80"/>
        <w:spacing w:after="0" w:line="221" w:lineRule="auto"/>
        <w:rPr>
          <w:sz w:val="20"/>
          <w:szCs w:val="20"/>
          <w:color w:val="auto"/>
        </w:rPr>
      </w:pPr>
      <w:r>
        <w:rPr>
          <w:rFonts w:ascii="Arial" w:cs="Arial" w:eastAsia="Arial" w:hAnsi="Arial"/>
          <w:sz w:val="17"/>
          <w:szCs w:val="17"/>
          <w:color w:val="auto"/>
        </w:rPr>
        <w:t>formatted in Inline Extensible Business Reporting Language (Inline XBRL): (i) Condensed Consolidated Income Statements, (ii) Condensed Consolidated Statements of</w:t>
      </w:r>
    </w:p>
    <w:p>
      <w:pPr>
        <w:ind w:left="1100"/>
        <w:spacing w:after="0" w:line="208" w:lineRule="auto"/>
        <w:rPr>
          <w:sz w:val="20"/>
          <w:szCs w:val="20"/>
          <w:color w:val="auto"/>
        </w:rPr>
      </w:pPr>
      <w:r>
        <w:rPr>
          <w:rFonts w:ascii="Arial" w:cs="Arial" w:eastAsia="Arial" w:hAnsi="Arial"/>
          <w:sz w:val="18"/>
          <w:szCs w:val="18"/>
          <w:color w:val="auto"/>
        </w:rPr>
        <w:t>Comprehensive Income, (iii) Condensed Consolidated Balance Sheets, (iv) Condensed Consolidated Statements of Cash Flows and (v) Notes to Condensed Consolidated</w:t>
      </w:r>
    </w:p>
    <w:p>
      <w:pPr>
        <w:spacing w:after="0" w:line="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Financial Statements</w:t>
      </w:r>
    </w:p>
    <w:p>
      <w:pPr>
        <w:spacing w:after="0" w:line="99" w:lineRule="exact"/>
        <w:rPr>
          <w:sz w:val="20"/>
          <w:szCs w:val="20"/>
          <w:color w:val="auto"/>
        </w:rPr>
      </w:pPr>
    </w:p>
    <w:p>
      <w:pPr>
        <w:jc w:val="right"/>
        <w:ind w:right="80"/>
        <w:spacing w:after="0"/>
        <w:tabs>
          <w:tab w:leader="none" w:pos="482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7"/>
          <w:szCs w:val="17"/>
          <w:color w:val="auto"/>
        </w:rPr>
        <w:t>The cover page from Xylem Inc.'s Quarterly Report on Form</w:t>
      </w:r>
    </w:p>
    <w:p>
      <w:pPr>
        <w:jc w:val="right"/>
        <w:ind w:right="120"/>
        <w:spacing w:after="0" w:line="219" w:lineRule="auto"/>
        <w:rPr>
          <w:sz w:val="20"/>
          <w:szCs w:val="20"/>
          <w:color w:val="auto"/>
        </w:rPr>
      </w:pPr>
      <w:r>
        <w:rPr>
          <w:rFonts w:ascii="Arial" w:cs="Arial" w:eastAsia="Arial" w:hAnsi="Arial"/>
          <w:sz w:val="18"/>
          <w:szCs w:val="18"/>
          <w:color w:val="auto"/>
        </w:rPr>
        <w:t>10-Q for the period ended June 30, 2022 formatted in Inline</w:t>
      </w:r>
    </w:p>
    <w:p>
      <w:pPr>
        <w:ind w:left="1100"/>
        <w:spacing w:after="0"/>
        <w:rPr>
          <w:sz w:val="20"/>
          <w:szCs w:val="20"/>
          <w:color w:val="auto"/>
        </w:rPr>
      </w:pPr>
      <w:r>
        <w:rPr>
          <w:rFonts w:ascii="Arial" w:cs="Arial" w:eastAsia="Arial" w:hAnsi="Arial"/>
          <w:sz w:val="18"/>
          <w:szCs w:val="18"/>
          <w:color w:val="auto"/>
        </w:rPr>
        <w:t>XBRL and contained in Exhibit 101.0.</w:t>
      </w:r>
    </w:p>
    <w:p>
      <w:pPr>
        <w:spacing w:after="0" w:line="20" w:lineRule="exact"/>
        <w:rPr>
          <w:sz w:val="20"/>
          <w:szCs w:val="20"/>
          <w:color w:val="auto"/>
        </w:rPr>
      </w:pPr>
      <w:r>
        <w:rPr>
          <w:sz w:val="20"/>
          <w:szCs w:val="20"/>
          <w:color w:val="auto"/>
        </w:rPr>
        <w:br w:type="column"/>
      </w:r>
    </w:p>
    <w:p>
      <w:pPr>
        <w:ind w:right="120"/>
        <w:spacing w:after="0" w:line="221" w:lineRule="auto"/>
        <w:rPr>
          <w:sz w:val="20"/>
          <w:szCs w:val="20"/>
          <w:color w:val="auto"/>
        </w:rPr>
      </w:pPr>
      <w:r>
        <w:rPr>
          <w:rFonts w:ascii="Arial" w:cs="Arial" w:eastAsia="Arial" w:hAnsi="Arial"/>
          <w:sz w:val="17"/>
          <w:szCs w:val="17"/>
          <w:color w:val="auto"/>
        </w:rPr>
        <w:t>be filed for purposes of Section 18 of the Securities Exchange Act of 1934 or incorporated by reference into any filing under the Securities Act of 1933 or the Securities Exchange Act of 1934,</w:t>
      </w:r>
    </w:p>
    <w:p>
      <w:pPr>
        <w:spacing w:after="0"/>
        <w:rPr>
          <w:sz w:val="20"/>
          <w:szCs w:val="20"/>
          <w:color w:val="auto"/>
        </w:rPr>
      </w:pPr>
      <w:r>
        <w:rPr>
          <w:rFonts w:ascii="Arial" w:cs="Arial" w:eastAsia="Arial" w:hAnsi="Arial"/>
          <w:sz w:val="18"/>
          <w:szCs w:val="18"/>
          <w:color w:val="auto"/>
        </w:rPr>
        <w:t>except as shall be expressly set forth by specific reference.</w:t>
      </w:r>
    </w:p>
    <w:p>
      <w:pPr>
        <w:spacing w:after="0" w:line="113"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The instance document does not appear in the interactive data file because its XBRL tags are embedded within the Inline XBRL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1981" w:lineRule="exact"/>
        <w:rPr>
          <w:sz w:val="20"/>
          <w:szCs w:val="20"/>
          <w:color w:val="auto"/>
        </w:rPr>
      </w:pPr>
    </w:p>
    <w:p>
      <w:pPr>
        <w:sectPr>
          <w:pgSz w:w="11900" w:h="16838" w:orient="portrait"/>
          <w:cols w:equalWidth="0" w:num="2">
            <w:col w:w="5940" w:space="60"/>
            <w:col w:w="5240"/>
          </w:cols>
          <w:pgMar w:left="320" w:top="890"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56" w:name="page57"/>
    <w:bookmarkEnd w:id="56"/>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500"/>
        <w:spacing w:after="0"/>
        <w:rPr>
          <w:sz w:val="20"/>
          <w:szCs w:val="20"/>
          <w:color w:val="auto"/>
        </w:rPr>
      </w:pPr>
      <w:r>
        <w:rPr>
          <w:rFonts w:ascii="Arial" w:cs="Arial" w:eastAsia="Arial" w:hAnsi="Arial"/>
          <w:sz w:val="18"/>
          <w:szCs w:val="18"/>
          <w:b w:val="1"/>
          <w:bCs w:val="1"/>
          <w:u w:val="single" w:color="auto"/>
          <w:color w:val="auto"/>
        </w:rPr>
        <w:t>XYLEM INC.</w:t>
      </w:r>
    </w:p>
    <w:p>
      <w:pPr>
        <w:spacing w:after="0" w:line="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(Registrant)</w:t>
      </w:r>
    </w:p>
    <w:p>
      <w:pPr>
        <w:spacing w:after="0" w:line="5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Geri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17780</wp:posOffset>
            </wp:positionV>
            <wp:extent cx="37973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Geri McShane</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Controller and Chief Accounting Officer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August 2, 2022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120"/>
          </w:cols>
          <w:pgMar w:left="320" w:top="1093" w:right="459" w:bottom="1440" w:gutter="0" w:footer="0" w:header="0"/>
        </w:sectPr>
      </w:pPr>
    </w:p>
    <w:bookmarkStart w:id="57" w:name="page58"/>
    <w:bookmarkEnd w:id="57"/>
    <w:p>
      <w:pPr>
        <w:jc w:val="right"/>
        <w:spacing w:after="0"/>
        <w:rPr>
          <w:sz w:val="20"/>
          <w:szCs w:val="20"/>
          <w:color w:val="auto"/>
        </w:rPr>
      </w:pPr>
      <w:r>
        <w:rPr>
          <w:rFonts w:ascii="Calibri" w:cs="Calibri" w:eastAsia="Calibri" w:hAnsi="Calibri"/>
          <w:sz w:val="18"/>
          <w:szCs w:val="18"/>
          <w:color w:val="auto"/>
        </w:rPr>
        <w:t>Restated, with administratve changes only, on July 11, 2022</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XYLEM</w:t>
      </w:r>
    </w:p>
    <w:p>
      <w:pPr>
        <w:jc w:val="center"/>
        <w:spacing w:after="0" w:line="221" w:lineRule="auto"/>
        <w:rPr>
          <w:sz w:val="20"/>
          <w:szCs w:val="20"/>
          <w:color w:val="auto"/>
        </w:rPr>
      </w:pPr>
      <w:r>
        <w:rPr>
          <w:rFonts w:ascii="Calibri" w:cs="Calibri" w:eastAsia="Calibri" w:hAnsi="Calibri"/>
          <w:sz w:val="18"/>
          <w:szCs w:val="18"/>
          <w:b w:val="1"/>
          <w:bCs w:val="1"/>
          <w:color w:val="auto"/>
        </w:rPr>
        <w:t>ANNUAL INCENTIVE PLAN FOR THE SENIOR LEADERSHIP TEAM</w:t>
      </w:r>
    </w:p>
    <w:p>
      <w:pPr>
        <w:jc w:val="center"/>
        <w:spacing w:after="0" w:line="221" w:lineRule="auto"/>
        <w:rPr>
          <w:sz w:val="20"/>
          <w:szCs w:val="20"/>
          <w:color w:val="auto"/>
        </w:rPr>
      </w:pPr>
      <w:r>
        <w:rPr>
          <w:rFonts w:ascii="Calibri" w:cs="Calibri" w:eastAsia="Calibri" w:hAnsi="Calibri"/>
          <w:sz w:val="18"/>
          <w:szCs w:val="18"/>
          <w:b w:val="1"/>
          <w:bCs w:val="1"/>
          <w:color w:val="auto"/>
        </w:rPr>
        <w:t>(Formerly “Annual Incentve Plan for Executve Ofcers”)</w:t>
      </w:r>
    </w:p>
    <w:p>
      <w:pPr>
        <w:spacing w:after="0" w:line="37" w:lineRule="exact"/>
        <w:rPr>
          <w:sz w:val="20"/>
          <w:szCs w:val="20"/>
          <w:color w:val="auto"/>
        </w:rPr>
      </w:pPr>
    </w:p>
    <w:p>
      <w:pPr>
        <w:ind w:left="380" w:hanging="354"/>
        <w:spacing w:after="0"/>
        <w:tabs>
          <w:tab w:leader="none" w:pos="380" w:val="left"/>
        </w:tabs>
        <w:numPr>
          <w:ilvl w:val="0"/>
          <w:numId w:val="21"/>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Purpose</w:t>
      </w:r>
    </w:p>
    <w:p>
      <w:pPr>
        <w:spacing w:after="0" w:line="96" w:lineRule="exact"/>
        <w:rPr>
          <w:sz w:val="20"/>
          <w:szCs w:val="20"/>
          <w:color w:val="auto"/>
        </w:rPr>
      </w:pPr>
    </w:p>
    <w:p>
      <w:pPr>
        <w:ind w:right="40"/>
        <w:spacing w:after="0" w:line="223" w:lineRule="auto"/>
        <w:rPr>
          <w:sz w:val="20"/>
          <w:szCs w:val="20"/>
          <w:color w:val="auto"/>
        </w:rPr>
      </w:pPr>
      <w:r>
        <w:rPr>
          <w:rFonts w:ascii="Calibri" w:cs="Calibri" w:eastAsia="Calibri" w:hAnsi="Calibri"/>
          <w:sz w:val="18"/>
          <w:szCs w:val="18"/>
          <w:color w:val="auto"/>
        </w:rPr>
        <w:t>The purpose of this Xylem Annual Incentve Plan (“</w:t>
      </w:r>
      <w:r>
        <w:rPr>
          <w:rFonts w:ascii="Calibri" w:cs="Calibri" w:eastAsia="Calibri" w:hAnsi="Calibri"/>
          <w:sz w:val="18"/>
          <w:szCs w:val="18"/>
          <w:b w:val="1"/>
          <w:bCs w:val="1"/>
          <w:color w:val="auto"/>
        </w:rPr>
        <w:t>AIP</w:t>
      </w:r>
      <w:r>
        <w:rPr>
          <w:rFonts w:ascii="Calibri" w:cs="Calibri" w:eastAsia="Calibri" w:hAnsi="Calibri"/>
          <w:sz w:val="18"/>
          <w:szCs w:val="18"/>
          <w:color w:val="auto"/>
        </w:rPr>
        <w:t>”) for the Senior Leadership Team (“SLT”) is to provide incentve compensaton in the form of a cash award to members of the SLT of Xylem Inc. (the “</w:t>
      </w:r>
      <w:r>
        <w:rPr>
          <w:rFonts w:ascii="Calibri" w:cs="Calibri" w:eastAsia="Calibri" w:hAnsi="Calibri"/>
          <w:sz w:val="18"/>
          <w:szCs w:val="18"/>
          <w:b w:val="1"/>
          <w:bCs w:val="1"/>
          <w:color w:val="auto"/>
        </w:rPr>
        <w:t>Company</w:t>
      </w:r>
      <w:r>
        <w:rPr>
          <w:rFonts w:ascii="Calibri" w:cs="Calibri" w:eastAsia="Calibri" w:hAnsi="Calibri"/>
          <w:sz w:val="18"/>
          <w:szCs w:val="18"/>
          <w:color w:val="auto"/>
        </w:rPr>
        <w:t>”) for achieving specifc pre-established performance objectves and to contnue to motvate partcipatng SLT members to achieve their business goals, while tying a porton of their compensaton to measures afectng shareholder value. The AIP seeks to enable the Company to contnue to be compettve in its ability to atract and retain SLT members of the highest caliber. The AIP frst became efectve as of October 31, 2011.</w:t>
      </w:r>
    </w:p>
    <w:p>
      <w:pPr>
        <w:spacing w:after="0" w:line="284" w:lineRule="exact"/>
        <w:rPr>
          <w:sz w:val="20"/>
          <w:szCs w:val="20"/>
          <w:color w:val="auto"/>
        </w:rPr>
      </w:pPr>
    </w:p>
    <w:p>
      <w:pPr>
        <w:ind w:left="360" w:hanging="334"/>
        <w:spacing w:after="0"/>
        <w:tabs>
          <w:tab w:leader="none" w:pos="360" w:val="left"/>
        </w:tabs>
        <w:numPr>
          <w:ilvl w:val="0"/>
          <w:numId w:val="22"/>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Plan Administraton</w:t>
      </w:r>
    </w:p>
    <w:p>
      <w:pPr>
        <w:spacing w:after="0" w:line="109" w:lineRule="exact"/>
        <w:rPr>
          <w:sz w:val="20"/>
          <w:szCs w:val="20"/>
          <w:color w:val="auto"/>
        </w:rPr>
      </w:pPr>
    </w:p>
    <w:p>
      <w:pPr>
        <w:ind w:right="20"/>
        <w:spacing w:after="0" w:line="225" w:lineRule="auto"/>
        <w:rPr>
          <w:sz w:val="20"/>
          <w:szCs w:val="20"/>
          <w:color w:val="auto"/>
        </w:rPr>
      </w:pPr>
      <w:r>
        <w:rPr>
          <w:rFonts w:ascii="Calibri" w:cs="Calibri" w:eastAsia="Calibri" w:hAnsi="Calibri"/>
          <w:sz w:val="18"/>
          <w:szCs w:val="18"/>
          <w:color w:val="auto"/>
        </w:rPr>
        <w:t>The Leadership Development and Compensaton Commitee (the “</w:t>
      </w:r>
      <w:r>
        <w:rPr>
          <w:rFonts w:ascii="Calibri" w:cs="Calibri" w:eastAsia="Calibri" w:hAnsi="Calibri"/>
          <w:sz w:val="18"/>
          <w:szCs w:val="18"/>
          <w:b w:val="1"/>
          <w:bCs w:val="1"/>
          <w:color w:val="auto"/>
        </w:rPr>
        <w:t>Commitee</w:t>
      </w:r>
      <w:r>
        <w:rPr>
          <w:rFonts w:ascii="Calibri" w:cs="Calibri" w:eastAsia="Calibri" w:hAnsi="Calibri"/>
          <w:sz w:val="18"/>
          <w:szCs w:val="18"/>
          <w:color w:val="auto"/>
        </w:rPr>
        <w:t>”) of the Board of Directors (the “</w:t>
      </w:r>
      <w:r>
        <w:rPr>
          <w:rFonts w:ascii="Calibri" w:cs="Calibri" w:eastAsia="Calibri" w:hAnsi="Calibri"/>
          <w:sz w:val="18"/>
          <w:szCs w:val="18"/>
          <w:b w:val="1"/>
          <w:bCs w:val="1"/>
          <w:color w:val="auto"/>
        </w:rPr>
        <w:t>Board</w:t>
      </w:r>
      <w:r>
        <w:rPr>
          <w:rFonts w:ascii="Calibri" w:cs="Calibri" w:eastAsia="Calibri" w:hAnsi="Calibri"/>
          <w:sz w:val="18"/>
          <w:szCs w:val="18"/>
          <w:color w:val="auto"/>
        </w:rPr>
        <w:t>”) of the Company, as consttuted by the Board from tme to tme, shall be comprised of non-employee directors who are independent under the requirements of the New York Stock Exchange and the rules of the Securites Exchange Commission.</w:t>
      </w:r>
    </w:p>
    <w:p>
      <w:pPr>
        <w:spacing w:after="0" w:line="219" w:lineRule="exact"/>
        <w:rPr>
          <w:sz w:val="20"/>
          <w:szCs w:val="20"/>
          <w:color w:val="auto"/>
        </w:rPr>
      </w:pPr>
    </w:p>
    <w:p>
      <w:pPr>
        <w:ind w:right="320"/>
        <w:spacing w:after="0" w:line="225" w:lineRule="auto"/>
        <w:rPr>
          <w:sz w:val="20"/>
          <w:szCs w:val="20"/>
          <w:color w:val="auto"/>
        </w:rPr>
      </w:pPr>
      <w:r>
        <w:rPr>
          <w:rFonts w:ascii="Calibri" w:cs="Calibri" w:eastAsia="Calibri" w:hAnsi="Calibri"/>
          <w:sz w:val="18"/>
          <w:szCs w:val="18"/>
          <w:color w:val="auto"/>
        </w:rPr>
        <w:t>The Commitee shall have full power and authority to administer, construe and interpret the provisions of the AIP and to adopt and amend administratve rules and regulatons, agreements, guidelines and instruments for the administraton of the AIP and for the conduct of its business as the Commitee considers appropriate.</w:t>
      </w:r>
    </w:p>
    <w:p>
      <w:pPr>
        <w:spacing w:after="0" w:line="233" w:lineRule="exact"/>
        <w:rPr>
          <w:sz w:val="20"/>
          <w:szCs w:val="20"/>
          <w:color w:val="auto"/>
        </w:rPr>
      </w:pPr>
    </w:p>
    <w:p>
      <w:pPr>
        <w:jc w:val="both"/>
        <w:ind w:right="220"/>
        <w:spacing w:after="0" w:line="225" w:lineRule="auto"/>
        <w:rPr>
          <w:sz w:val="20"/>
          <w:szCs w:val="20"/>
          <w:color w:val="auto"/>
        </w:rPr>
      </w:pPr>
      <w:r>
        <w:rPr>
          <w:rFonts w:ascii="Calibri" w:cs="Calibri" w:eastAsia="Calibri" w:hAnsi="Calibri"/>
          <w:sz w:val="18"/>
          <w:szCs w:val="18"/>
          <w:color w:val="auto"/>
        </w:rPr>
        <w:t>The Commitee shall have full power, to the extent permited by law, to delegate its authority to any ofcer or employee of the Company to administer and interpret the procedural aspects of the AIP, subject to the terms of the AIP, including adoptng and enforcing rules to decide procedural and administratve issues.</w:t>
      </w:r>
    </w:p>
    <w:p>
      <w:pPr>
        <w:spacing w:after="0" w:line="233" w:lineRule="exact"/>
        <w:rPr>
          <w:sz w:val="20"/>
          <w:szCs w:val="20"/>
          <w:color w:val="auto"/>
        </w:rPr>
      </w:pPr>
    </w:p>
    <w:p>
      <w:pPr>
        <w:ind w:right="460"/>
        <w:spacing w:after="0" w:line="227" w:lineRule="auto"/>
        <w:rPr>
          <w:sz w:val="20"/>
          <w:szCs w:val="20"/>
          <w:color w:val="auto"/>
        </w:rPr>
      </w:pPr>
      <w:r>
        <w:rPr>
          <w:rFonts w:ascii="Calibri" w:cs="Calibri" w:eastAsia="Calibri" w:hAnsi="Calibri"/>
          <w:sz w:val="18"/>
          <w:szCs w:val="18"/>
          <w:color w:val="auto"/>
        </w:rPr>
        <w:t>The Commitee may rely on opinions, reports or statements of ofcers or employees of the Company and of counsel to the Company (inside or retained counsel), public accountants and other professional or expert persons.</w:t>
      </w:r>
    </w:p>
    <w:p>
      <w:pPr>
        <w:spacing w:after="0" w:line="232" w:lineRule="exact"/>
        <w:rPr>
          <w:sz w:val="20"/>
          <w:szCs w:val="20"/>
          <w:color w:val="auto"/>
        </w:rPr>
      </w:pPr>
    </w:p>
    <w:p>
      <w:pPr>
        <w:ind w:right="100"/>
        <w:spacing w:after="0" w:line="227" w:lineRule="auto"/>
        <w:rPr>
          <w:sz w:val="20"/>
          <w:szCs w:val="20"/>
          <w:color w:val="auto"/>
        </w:rPr>
      </w:pPr>
      <w:r>
        <w:rPr>
          <w:rFonts w:ascii="Calibri" w:cs="Calibri" w:eastAsia="Calibri" w:hAnsi="Calibri"/>
          <w:sz w:val="18"/>
          <w:szCs w:val="18"/>
          <w:color w:val="auto"/>
        </w:rPr>
        <w:t>The Board reserves the right to amend or terminate the AIP in whole or in part at any tme; provided, however, that no amendments shall adversely afect or impair the rights of any partcipant that have previously accrued hereunder, without the writen consent of the partcipant.</w:t>
      </w:r>
    </w:p>
    <w:p>
      <w:pPr>
        <w:spacing w:after="0" w:line="232" w:lineRule="exact"/>
        <w:rPr>
          <w:sz w:val="20"/>
          <w:szCs w:val="20"/>
          <w:color w:val="auto"/>
        </w:rPr>
      </w:pPr>
    </w:p>
    <w:p>
      <w:pPr>
        <w:ind w:right="160"/>
        <w:spacing w:after="0" w:line="220" w:lineRule="auto"/>
        <w:rPr>
          <w:sz w:val="20"/>
          <w:szCs w:val="20"/>
          <w:color w:val="auto"/>
        </w:rPr>
      </w:pPr>
      <w:r>
        <w:rPr>
          <w:rFonts w:ascii="Calibri" w:cs="Calibri" w:eastAsia="Calibri" w:hAnsi="Calibri"/>
          <w:sz w:val="18"/>
          <w:szCs w:val="18"/>
          <w:color w:val="auto"/>
        </w:rPr>
        <w:t>No member of the Commitee shall be liable for any acton taken or omited to be taken or for any determinaton made by him or her in good faith with respect to the AIP, and the Company shall indemnify and hold harmless each member of the Commitee against any cost or expense (including counsel fees) or liability (including any sum paid in setlement of a claim with the approval of the Commitee) arising out of any act or omission in connecton with the administraton or interpretaton of the AIP, unless arising out of such person’s own fraud or bad faith.</w:t>
      </w:r>
    </w:p>
    <w:p>
      <w:pPr>
        <w:spacing w:after="0" w:line="283" w:lineRule="exact"/>
        <w:rPr>
          <w:sz w:val="20"/>
          <w:szCs w:val="20"/>
          <w:color w:val="auto"/>
        </w:rPr>
      </w:pPr>
    </w:p>
    <w:p>
      <w:pPr>
        <w:ind w:left="380" w:hanging="354"/>
        <w:spacing w:after="0"/>
        <w:tabs>
          <w:tab w:leader="none" w:pos="380" w:val="left"/>
        </w:tabs>
        <w:numPr>
          <w:ilvl w:val="0"/>
          <w:numId w:val="2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Eligible Executves</w:t>
      </w:r>
    </w:p>
    <w:p>
      <w:pPr>
        <w:spacing w:after="0" w:line="109" w:lineRule="exact"/>
        <w:rPr>
          <w:sz w:val="20"/>
          <w:szCs w:val="20"/>
          <w:color w:val="auto"/>
        </w:rPr>
      </w:pPr>
    </w:p>
    <w:p>
      <w:pPr>
        <w:ind w:right="860"/>
        <w:spacing w:after="0" w:line="227" w:lineRule="auto"/>
        <w:rPr>
          <w:sz w:val="20"/>
          <w:szCs w:val="20"/>
          <w:color w:val="auto"/>
        </w:rPr>
      </w:pPr>
      <w:r>
        <w:rPr>
          <w:rFonts w:ascii="Calibri" w:cs="Calibri" w:eastAsia="Calibri" w:hAnsi="Calibri"/>
          <w:sz w:val="18"/>
          <w:szCs w:val="18"/>
          <w:color w:val="auto"/>
        </w:rPr>
        <w:t>Executves in salary Band A, which includes executve ofcers as defned by the Securites Exchange Act of 1934, Rule 3b-7, of the Company and its subsidiaries, shall be eligible to partcipate in the AIP.</w:t>
      </w:r>
    </w:p>
    <w:p>
      <w:pPr>
        <w:spacing w:after="0" w:line="282" w:lineRule="exact"/>
        <w:rPr>
          <w:sz w:val="20"/>
          <w:szCs w:val="20"/>
          <w:color w:val="auto"/>
        </w:rPr>
      </w:pPr>
    </w:p>
    <w:p>
      <w:pPr>
        <w:ind w:left="360" w:hanging="334"/>
        <w:spacing w:after="0"/>
        <w:tabs>
          <w:tab w:leader="none" w:pos="360" w:val="left"/>
        </w:tabs>
        <w:numPr>
          <w:ilvl w:val="0"/>
          <w:numId w:val="24"/>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Plan Year, Performance Periods, Performance Measures and Performance Targets</w:t>
      </w:r>
    </w:p>
    <w:p>
      <w:pPr>
        <w:spacing w:after="0" w:line="109" w:lineRule="exact"/>
        <w:rPr>
          <w:sz w:val="20"/>
          <w:szCs w:val="20"/>
          <w:color w:val="auto"/>
        </w:rPr>
      </w:pPr>
    </w:p>
    <w:p>
      <w:pPr>
        <w:ind w:right="160"/>
        <w:spacing w:after="0" w:line="220" w:lineRule="auto"/>
        <w:rPr>
          <w:sz w:val="20"/>
          <w:szCs w:val="20"/>
          <w:color w:val="auto"/>
        </w:rPr>
      </w:pPr>
      <w:r>
        <w:rPr>
          <w:rFonts w:ascii="Calibri" w:cs="Calibri" w:eastAsia="Calibri" w:hAnsi="Calibri"/>
          <w:sz w:val="18"/>
          <w:szCs w:val="18"/>
          <w:color w:val="auto"/>
        </w:rPr>
        <w:t>Each fscal year of the AIP (the “</w:t>
      </w:r>
      <w:r>
        <w:rPr>
          <w:rFonts w:ascii="Calibri" w:cs="Calibri" w:eastAsia="Calibri" w:hAnsi="Calibri"/>
          <w:sz w:val="18"/>
          <w:szCs w:val="18"/>
          <w:b w:val="1"/>
          <w:bCs w:val="1"/>
          <w:color w:val="auto"/>
        </w:rPr>
        <w:t>Plan Year</w:t>
      </w:r>
      <w:r>
        <w:rPr>
          <w:rFonts w:ascii="Calibri" w:cs="Calibri" w:eastAsia="Calibri" w:hAnsi="Calibri"/>
          <w:sz w:val="18"/>
          <w:szCs w:val="18"/>
          <w:color w:val="auto"/>
        </w:rPr>
        <w:t>”) shall begin on January 1 and end on December 31. The performance period (the “</w:t>
      </w:r>
      <w:r>
        <w:rPr>
          <w:rFonts w:ascii="Calibri" w:cs="Calibri" w:eastAsia="Calibri" w:hAnsi="Calibri"/>
          <w:sz w:val="18"/>
          <w:szCs w:val="18"/>
          <w:b w:val="1"/>
          <w:bCs w:val="1"/>
          <w:color w:val="auto"/>
        </w:rPr>
        <w:t>Performance Period</w:t>
      </w:r>
      <w:r>
        <w:rPr>
          <w:rFonts w:ascii="Calibri" w:cs="Calibri" w:eastAsia="Calibri" w:hAnsi="Calibri"/>
          <w:sz w:val="18"/>
          <w:szCs w:val="18"/>
          <w:color w:val="auto"/>
        </w:rPr>
        <w:t>”) with respect to which incentve awards may be payable under the AIP shall be the Plan Year unless the Commitee designates one or more diferent Performance Periods.</w:t>
      </w:r>
    </w:p>
    <w:p>
      <w:pPr>
        <w:spacing w:after="0" w:line="233" w:lineRule="exact"/>
        <w:rPr>
          <w:sz w:val="20"/>
          <w:szCs w:val="20"/>
          <w:color w:val="auto"/>
        </w:rPr>
      </w:pPr>
    </w:p>
    <w:p>
      <w:pPr>
        <w:spacing w:after="0"/>
        <w:rPr>
          <w:sz w:val="20"/>
          <w:szCs w:val="20"/>
          <w:color w:val="auto"/>
        </w:rPr>
      </w:pPr>
      <w:r>
        <w:rPr>
          <w:rFonts w:ascii="Calibri" w:cs="Calibri" w:eastAsia="Calibri" w:hAnsi="Calibri"/>
          <w:sz w:val="17"/>
          <w:szCs w:val="17"/>
          <w:color w:val="auto"/>
        </w:rPr>
        <w:t>The Commitee shall establish the performance measures (the “</w:t>
      </w:r>
      <w:r>
        <w:rPr>
          <w:rFonts w:ascii="Calibri" w:cs="Calibri" w:eastAsia="Calibri" w:hAnsi="Calibri"/>
          <w:sz w:val="17"/>
          <w:szCs w:val="17"/>
          <w:b w:val="1"/>
          <w:bCs w:val="1"/>
          <w:color w:val="auto"/>
        </w:rPr>
        <w:t>Performance Measures</w:t>
      </w:r>
      <w:r>
        <w:rPr>
          <w:rFonts w:ascii="Calibri" w:cs="Calibri" w:eastAsia="Calibri" w:hAnsi="Calibri"/>
          <w:sz w:val="17"/>
          <w:szCs w:val="17"/>
          <w:color w:val="auto"/>
        </w:rPr>
        <w:t>”) to be used which may include, one or more of the following criteria:</w:t>
      </w:r>
    </w:p>
    <w:p>
      <w:pPr>
        <w:spacing w:after="0" w:line="2" w:lineRule="exact"/>
        <w:rPr>
          <w:sz w:val="20"/>
          <w:szCs w:val="20"/>
          <w:color w:val="auto"/>
        </w:rPr>
      </w:pPr>
    </w:p>
    <w:p>
      <w:pPr>
        <w:ind w:left="200" w:hanging="192"/>
        <w:spacing w:after="0"/>
        <w:tabs>
          <w:tab w:leader="none" w:pos="200" w:val="left"/>
        </w:tabs>
        <w:numPr>
          <w:ilvl w:val="0"/>
          <w:numId w:val="25"/>
        </w:numPr>
        <w:rPr>
          <w:rFonts w:ascii="Calibri" w:cs="Calibri" w:eastAsia="Calibri" w:hAnsi="Calibri"/>
          <w:sz w:val="17"/>
          <w:szCs w:val="17"/>
          <w:color w:val="auto"/>
        </w:rPr>
      </w:pPr>
      <w:r>
        <w:rPr>
          <w:rFonts w:ascii="Calibri" w:cs="Calibri" w:eastAsia="Calibri" w:hAnsi="Calibri"/>
          <w:sz w:val="17"/>
          <w:szCs w:val="17"/>
          <w:color w:val="auto"/>
        </w:rPr>
        <w:t>consolidated earnings before or afer taxes (including earnings before interest, taxes, depreciaton and amortzaton); (ii) net income; (iii) operatng income;</w:t>
      </w:r>
    </w:p>
    <w:p>
      <w:pPr>
        <w:ind w:right="40" w:firstLine="8"/>
        <w:spacing w:after="0" w:line="221" w:lineRule="auto"/>
        <w:tabs>
          <w:tab w:leader="none" w:pos="266"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earnings per share; (v) book value per share; (vi) return on shareholders’ equity; (vii) expense management; (viii) return on investment; (ix) improvements in capital structure; (x) proftability of an identfable business unit or product; (xi) maintenance or improvement of proft margins; (xii) stock price; (xiii) market share; (xiv) revenues or sales</w:t>
      </w:r>
    </w:p>
    <w:p>
      <w:pPr>
        <w:sectPr>
          <w:pgSz w:w="11900" w:h="16838" w:orient="portrait"/>
          <w:cols w:equalWidth="0" w:num="1">
            <w:col w:w="11240"/>
          </w:cols>
          <w:pgMar w:left="320" w:top="585" w:right="339" w:bottom="1440" w:gutter="0" w:footer="0" w:header="0"/>
        </w:sectPr>
      </w:pPr>
    </w:p>
    <w:bookmarkStart w:id="58" w:name="page59"/>
    <w:bookmarkEnd w:id="58"/>
    <w:p>
      <w:pPr>
        <w:jc w:val="right"/>
        <w:spacing w:after="0"/>
        <w:rPr>
          <w:sz w:val="20"/>
          <w:szCs w:val="20"/>
          <w:color w:val="auto"/>
        </w:rPr>
      </w:pPr>
      <w:r>
        <w:rPr>
          <w:rFonts w:ascii="Calibri" w:cs="Calibri" w:eastAsia="Calibri" w:hAnsi="Calibri"/>
          <w:sz w:val="18"/>
          <w:szCs w:val="18"/>
          <w:color w:val="auto"/>
        </w:rPr>
        <w:t>Restated, with administratve changes only, on July 11, 2022</w:t>
      </w:r>
    </w:p>
    <w:p>
      <w:pPr>
        <w:spacing w:after="0" w:line="200" w:lineRule="exact"/>
        <w:rPr>
          <w:sz w:val="20"/>
          <w:szCs w:val="20"/>
          <w:color w:val="auto"/>
        </w:rPr>
      </w:pPr>
    </w:p>
    <w:p>
      <w:pPr>
        <w:spacing w:after="0" w:line="395" w:lineRule="exact"/>
        <w:rPr>
          <w:sz w:val="20"/>
          <w:szCs w:val="20"/>
          <w:color w:val="auto"/>
        </w:rPr>
      </w:pPr>
    </w:p>
    <w:p>
      <w:pPr>
        <w:ind w:right="260"/>
        <w:spacing w:after="0" w:line="227" w:lineRule="auto"/>
        <w:rPr>
          <w:sz w:val="20"/>
          <w:szCs w:val="20"/>
          <w:color w:val="auto"/>
        </w:rPr>
      </w:pPr>
      <w:r>
        <w:rPr>
          <w:rFonts w:ascii="Calibri" w:cs="Calibri" w:eastAsia="Calibri" w:hAnsi="Calibri"/>
          <w:sz w:val="18"/>
          <w:szCs w:val="18"/>
          <w:color w:val="auto"/>
        </w:rPr>
        <w:t>(including organic revenue); (xv) costs; (xvi) cash fow; (xvii) working capital (xviii) return on assets; (xix) total shareholder return; (xx) return on invested or total capital and (xxi) economic value added.</w:t>
      </w:r>
    </w:p>
    <w:p>
      <w:pPr>
        <w:spacing w:after="0" w:line="232" w:lineRule="exact"/>
        <w:rPr>
          <w:sz w:val="20"/>
          <w:szCs w:val="20"/>
          <w:color w:val="auto"/>
        </w:rPr>
      </w:pPr>
    </w:p>
    <w:p>
      <w:pPr>
        <w:ind w:right="320"/>
        <w:spacing w:after="0" w:line="220" w:lineRule="auto"/>
        <w:rPr>
          <w:sz w:val="20"/>
          <w:szCs w:val="20"/>
          <w:color w:val="auto"/>
        </w:rPr>
      </w:pPr>
      <w:r>
        <w:rPr>
          <w:rFonts w:ascii="Calibri" w:cs="Calibri" w:eastAsia="Calibri" w:hAnsi="Calibri"/>
          <w:sz w:val="18"/>
          <w:szCs w:val="18"/>
          <w:color w:val="auto"/>
        </w:rPr>
        <w:t>In additon, Performance Measures may be based upon other objectves such as negotatng transactons or sales, implementaton of Company policy, development of long-term business goals or strategic plans, negotaton of signifcant corporate transactons, meetng specifed market penetraton goals, productvity measures, geographic business expansion goals, cost targets, customer satsfacton or employee satsfacton goals, goals relatng to merger synergies, management of employment practces and employee benefts, or supervision of litgaton and informaton technology, and goals relatng to acquisitons or divesttures of subsidiaries and/or other afliates or joint ventures; provided however, that the measurement of any such Performance Measures must be objectvely determinable.</w:t>
      </w:r>
    </w:p>
    <w:p>
      <w:pPr>
        <w:spacing w:after="0" w:line="236" w:lineRule="exact"/>
        <w:rPr>
          <w:sz w:val="20"/>
          <w:szCs w:val="20"/>
          <w:color w:val="auto"/>
        </w:rPr>
      </w:pPr>
    </w:p>
    <w:p>
      <w:pPr>
        <w:ind w:right="100"/>
        <w:spacing w:after="0" w:line="224" w:lineRule="auto"/>
        <w:rPr>
          <w:sz w:val="20"/>
          <w:szCs w:val="20"/>
          <w:color w:val="auto"/>
        </w:rPr>
      </w:pPr>
      <w:r>
        <w:rPr>
          <w:rFonts w:ascii="Calibri" w:cs="Calibri" w:eastAsia="Calibri" w:hAnsi="Calibri"/>
          <w:sz w:val="18"/>
          <w:szCs w:val="18"/>
          <w:color w:val="auto"/>
        </w:rPr>
        <w:t>All Performance Measures shall be objectvely determinable and, to the extent they are expressed in standard accountng terms, shall be according to generally accepted accountng principles as in existence on the date on which the applicable Performance Period is established and without regard to any changes in such principles afer such date (unless the modifcaton of a Performance Measure to take into account such a change is pre-established in writng at the tme the Performance Measures are established in writng by the Commitee).</w:t>
      </w:r>
    </w:p>
    <w:p>
      <w:pPr>
        <w:spacing w:after="0" w:line="233" w:lineRule="exact"/>
        <w:rPr>
          <w:sz w:val="20"/>
          <w:szCs w:val="20"/>
          <w:color w:val="auto"/>
        </w:rPr>
      </w:pPr>
    </w:p>
    <w:p>
      <w:pPr>
        <w:ind w:right="100"/>
        <w:spacing w:after="0" w:line="223" w:lineRule="auto"/>
        <w:rPr>
          <w:sz w:val="20"/>
          <w:szCs w:val="20"/>
          <w:color w:val="auto"/>
        </w:rPr>
      </w:pPr>
      <w:r>
        <w:rPr>
          <w:rFonts w:ascii="Calibri" w:cs="Calibri" w:eastAsia="Calibri" w:hAnsi="Calibri"/>
          <w:sz w:val="18"/>
          <w:szCs w:val="18"/>
          <w:color w:val="auto"/>
        </w:rPr>
        <w:t>The Commitee shall establish the performance targets (the “</w:t>
      </w:r>
      <w:r>
        <w:rPr>
          <w:rFonts w:ascii="Calibri" w:cs="Calibri" w:eastAsia="Calibri" w:hAnsi="Calibri"/>
          <w:sz w:val="18"/>
          <w:szCs w:val="18"/>
          <w:b w:val="1"/>
          <w:bCs w:val="1"/>
          <w:color w:val="auto"/>
        </w:rPr>
        <w:t>Performance Targets</w:t>
      </w:r>
      <w:r>
        <w:rPr>
          <w:rFonts w:ascii="Calibri" w:cs="Calibri" w:eastAsia="Calibri" w:hAnsi="Calibri"/>
          <w:sz w:val="18"/>
          <w:szCs w:val="18"/>
          <w:color w:val="auto"/>
        </w:rPr>
        <w:t>”) to be achieved which shall be based on one or more Performance Measures relatng to the Company as a whole or to the specifc businesses of the Company, subsidiaries, operatng groups, or operatng units, as determined by the Commitee. Performance Targets may be established on such terms as the Commitee may determine, in its discreton, including in absolute terms, as a goal relatve to performance in prior periods, or as a goal compared to the performance of one or more comparable companies or an index covering multple companies. The Commitee also shall establish with respect to each incentve award an objectve formula to be used in calculatng the amount of incentve award each partcipant shall be eligible to receive. There may be a sliding scale of payment dependent upon the percentage levels of achievement of Performance Targets.</w:t>
      </w:r>
    </w:p>
    <w:p>
      <w:pPr>
        <w:spacing w:after="0" w:line="231" w:lineRule="exact"/>
        <w:rPr>
          <w:sz w:val="20"/>
          <w:szCs w:val="20"/>
          <w:color w:val="auto"/>
        </w:rPr>
      </w:pPr>
    </w:p>
    <w:p>
      <w:pPr>
        <w:ind w:right="60"/>
        <w:spacing w:after="0" w:line="220" w:lineRule="auto"/>
        <w:rPr>
          <w:sz w:val="20"/>
          <w:szCs w:val="20"/>
          <w:color w:val="auto"/>
        </w:rPr>
      </w:pPr>
      <w:r>
        <w:rPr>
          <w:rFonts w:ascii="Calibri" w:cs="Calibri" w:eastAsia="Calibri" w:hAnsi="Calibri"/>
          <w:sz w:val="18"/>
          <w:szCs w:val="18"/>
          <w:color w:val="auto"/>
        </w:rPr>
        <w:t>The Performance Measures and Performance Targets, which may be diferent with respect to each partcipant and each Performance Period, must be set forth in writng by the Commitee within the frst ninety (90) days of the applicable Performance Period or, if sooner, prior to the tme when 25 percent of the relevant Performance Period has elapsed.</w:t>
      </w:r>
    </w:p>
    <w:p>
      <w:pPr>
        <w:spacing w:after="0" w:line="282" w:lineRule="exact"/>
        <w:rPr>
          <w:sz w:val="20"/>
          <w:szCs w:val="20"/>
          <w:color w:val="auto"/>
        </w:rPr>
      </w:pPr>
    </w:p>
    <w:p>
      <w:pPr>
        <w:ind w:left="360" w:hanging="334"/>
        <w:spacing w:after="0"/>
        <w:tabs>
          <w:tab w:leader="none" w:pos="360" w:val="left"/>
        </w:tabs>
        <w:numPr>
          <w:ilvl w:val="0"/>
          <w:numId w:val="27"/>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Certfcaton of Performance Targets and Calculaton of Incentve Awards</w:t>
      </w:r>
    </w:p>
    <w:p>
      <w:pPr>
        <w:spacing w:after="0" w:line="109" w:lineRule="exact"/>
        <w:rPr>
          <w:sz w:val="20"/>
          <w:szCs w:val="20"/>
          <w:color w:val="auto"/>
        </w:rPr>
      </w:pPr>
    </w:p>
    <w:p>
      <w:pPr>
        <w:ind w:right="40"/>
        <w:spacing w:after="0" w:line="221" w:lineRule="auto"/>
        <w:rPr>
          <w:sz w:val="20"/>
          <w:szCs w:val="20"/>
          <w:color w:val="auto"/>
        </w:rPr>
      </w:pPr>
      <w:r>
        <w:rPr>
          <w:rFonts w:ascii="Calibri" w:cs="Calibri" w:eastAsia="Calibri" w:hAnsi="Calibri"/>
          <w:sz w:val="18"/>
          <w:szCs w:val="18"/>
          <w:color w:val="auto"/>
        </w:rPr>
        <w:t>Afer the end of each Performance Period, and prior to the payment for such Performance Period, the Commitee must certfy in writng the degree to which the Performance Targets for the Performance Period were achieved, including the specifc target objectve or objectves and the satsfacton of any other material terms of the incentve award. The Commitee shall calculate the amount of each partcipant’s incentve award for such Performance Period based upon the Performance Measures and Performance Targets for such partcipant. In establishing Performance Targets and Performance Measures and in calculatng the degree of achievement thereof, the Commitee may ignore extraordinary items, property transactons, changes in accountng standards and losses or gains arising from discontnued operatons. The Commitee shall have authority or discreton to increase or decrease the amount or totally eliminate any such incentve award if it determines in its absolute and sole discreton that such acton is appropriate in order to refect the partcipant’s performance or unantcipated factors during the Performance Period. The maximum payment that may be made with respect to incentve awards under the AIP to any partcipant in any one calendar year shall be $8,000,000; provided, however, that this limitaton shall not apply with respect to any incentve award that is paid in a calendar year prior to the year it would ordinarily be paid because of a Change in Control or other transacton or event that provides for accelerated payment of an incentve award.</w:t>
      </w:r>
    </w:p>
    <w:p>
      <w:pPr>
        <w:spacing w:after="0" w:line="281" w:lineRule="exact"/>
        <w:rPr>
          <w:sz w:val="20"/>
          <w:szCs w:val="20"/>
          <w:color w:val="auto"/>
        </w:rPr>
      </w:pPr>
    </w:p>
    <w:p>
      <w:pPr>
        <w:ind w:left="360" w:hanging="334"/>
        <w:spacing w:after="0"/>
        <w:tabs>
          <w:tab w:leader="none" w:pos="360" w:val="left"/>
        </w:tabs>
        <w:numPr>
          <w:ilvl w:val="0"/>
          <w:numId w:val="28"/>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Payment of Incentve Awards</w:t>
      </w:r>
    </w:p>
    <w:p>
      <w:pPr>
        <w:spacing w:after="0" w:line="109" w:lineRule="exact"/>
        <w:rPr>
          <w:sz w:val="20"/>
          <w:szCs w:val="20"/>
          <w:color w:val="auto"/>
        </w:rPr>
      </w:pPr>
    </w:p>
    <w:p>
      <w:pPr>
        <w:ind w:right="40"/>
        <w:spacing w:after="0" w:line="225" w:lineRule="auto"/>
        <w:rPr>
          <w:sz w:val="20"/>
          <w:szCs w:val="20"/>
          <w:color w:val="auto"/>
        </w:rPr>
      </w:pPr>
      <w:r>
        <w:rPr>
          <w:rFonts w:ascii="Calibri" w:cs="Calibri" w:eastAsia="Calibri" w:hAnsi="Calibri"/>
          <w:sz w:val="18"/>
          <w:szCs w:val="18"/>
          <w:color w:val="auto"/>
        </w:rPr>
        <w:t>Approved incentve awards shall be payable by the Company in cash to each partcipant or to the partcipant’s estate in the event of the partcipant’s death, as soon as practcable (and in any event no later than 2 1/2 months) afer the end of each Performance Period. No incentve award may be paid under the AIP untl the Commitee has certfed in writng that the relevant Performance Targets were achieved.</w:t>
      </w:r>
    </w:p>
    <w:p>
      <w:pPr>
        <w:sectPr>
          <w:pgSz w:w="11900" w:h="16838" w:orient="portrait"/>
          <w:cols w:equalWidth="0" w:num="1">
            <w:col w:w="11240"/>
          </w:cols>
          <w:pgMar w:left="320" w:top="585" w:right="339" w:bottom="1440" w:gutter="0" w:footer="0" w:header="0"/>
        </w:sectPr>
      </w:pPr>
    </w:p>
    <w:bookmarkStart w:id="59" w:name="page60"/>
    <w:bookmarkEnd w:id="59"/>
    <w:p>
      <w:pPr>
        <w:jc w:val="right"/>
        <w:spacing w:after="0"/>
        <w:rPr>
          <w:sz w:val="20"/>
          <w:szCs w:val="20"/>
          <w:color w:val="auto"/>
        </w:rPr>
      </w:pPr>
      <w:r>
        <w:rPr>
          <w:rFonts w:ascii="Calibri" w:cs="Calibri" w:eastAsia="Calibri" w:hAnsi="Calibri"/>
          <w:sz w:val="18"/>
          <w:szCs w:val="18"/>
          <w:color w:val="auto"/>
        </w:rPr>
        <w:t>Restated, with administratve changes only, on July 11, 2022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alibri" w:cs="Calibri" w:eastAsia="Calibri" w:hAnsi="Calibri"/>
          <w:sz w:val="18"/>
          <w:szCs w:val="18"/>
          <w:color w:val="auto"/>
        </w:rPr>
        <w:t>If a partcipant is not an employee on the last day of the Performance Period, the following terms apply:</w:t>
      </w:r>
    </w:p>
    <w:p>
      <w:pPr>
        <w:spacing w:after="0" w:line="231" w:lineRule="exact"/>
        <w:rPr>
          <w:sz w:val="20"/>
          <w:szCs w:val="20"/>
          <w:color w:val="auto"/>
        </w:rPr>
      </w:pPr>
    </w:p>
    <w:p>
      <w:pPr>
        <w:ind w:left="660" w:right="100" w:hanging="328"/>
        <w:spacing w:after="0" w:line="241" w:lineRule="auto"/>
        <w:tabs>
          <w:tab w:leader="none" w:pos="650" w:val="left"/>
        </w:tabs>
        <w:numPr>
          <w:ilvl w:val="0"/>
          <w:numId w:val="29"/>
        </w:numPr>
        <w:rPr>
          <w:rFonts w:ascii="Calibri" w:cs="Calibri" w:eastAsia="Calibri" w:hAnsi="Calibri"/>
          <w:sz w:val="17"/>
          <w:szCs w:val="17"/>
          <w:color w:val="auto"/>
        </w:rPr>
      </w:pPr>
      <w:r>
        <w:rPr>
          <w:rFonts w:ascii="Calibri" w:cs="Calibri" w:eastAsia="Calibri" w:hAnsi="Calibri"/>
          <w:sz w:val="17"/>
          <w:szCs w:val="17"/>
          <w:u w:val="single" w:color="auto"/>
          <w:color w:val="auto"/>
        </w:rPr>
        <w:t>Terminaton due to Death, Disability, or Retrement</w:t>
      </w:r>
      <w:r>
        <w:rPr>
          <w:rFonts w:ascii="Calibri" w:cs="Calibri" w:eastAsia="Calibri" w:hAnsi="Calibri"/>
          <w:sz w:val="17"/>
          <w:szCs w:val="17"/>
          <w:color w:val="auto"/>
        </w:rPr>
        <w:t>: a prorated porton of the approved incentve award based on the partcipant’s terminaton date shall be paid in cash to the partcipant as soon as practcable (and in any event no later than 2 ½ months) afer the end of the Performance Period;.</w:t>
      </w:r>
    </w:p>
    <w:p>
      <w:pPr>
        <w:ind w:left="640" w:hanging="308"/>
        <w:spacing w:after="0" w:line="221" w:lineRule="auto"/>
        <w:tabs>
          <w:tab w:leader="none" w:pos="640" w:val="left"/>
        </w:tabs>
        <w:numPr>
          <w:ilvl w:val="0"/>
          <w:numId w:val="29"/>
        </w:numPr>
        <w:rPr>
          <w:rFonts w:ascii="Calibri" w:cs="Calibri" w:eastAsia="Calibri" w:hAnsi="Calibri"/>
          <w:sz w:val="18"/>
          <w:szCs w:val="18"/>
          <w:color w:val="auto"/>
        </w:rPr>
      </w:pPr>
      <w:r>
        <w:rPr>
          <w:rFonts w:ascii="Calibri" w:cs="Calibri" w:eastAsia="Calibri" w:hAnsi="Calibri"/>
          <w:sz w:val="18"/>
          <w:szCs w:val="18"/>
          <w:u w:val="single" w:color="auto"/>
          <w:color w:val="auto"/>
        </w:rPr>
        <w:t>Due to a Change in Control</w:t>
      </w:r>
      <w:r>
        <w:rPr>
          <w:rFonts w:ascii="Calibri" w:cs="Calibri" w:eastAsia="Calibri" w:hAnsi="Calibri"/>
          <w:sz w:val="18"/>
          <w:szCs w:val="18"/>
          <w:color w:val="auto"/>
        </w:rPr>
        <w:t>: as described in Secton 8.</w:t>
      </w:r>
    </w:p>
    <w:p>
      <w:pPr>
        <w:ind w:left="660" w:right="260" w:hanging="328"/>
        <w:spacing w:after="0" w:line="221" w:lineRule="auto"/>
        <w:tabs>
          <w:tab w:leader="none" w:pos="649"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For all other circumstances, the Commitee shall have sole discreton to determine what porton, if any, the partcipant shall be enttled to receive with respect to any award for the Performance Period; provided, however, that any payment in respect of an award shall be subject to the satsfacton of the applicable Performance Targets for the Performance Period.</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Commitee shall have the authority to adopt appropriate rules and regulatons for the administraton of the AIP in the above terminaton cases.</w:t>
      </w:r>
    </w:p>
    <w:p>
      <w:pPr>
        <w:spacing w:after="0" w:line="221" w:lineRule="auto"/>
        <w:rPr>
          <w:sz w:val="20"/>
          <w:szCs w:val="20"/>
          <w:color w:val="auto"/>
        </w:rPr>
      </w:pPr>
      <w:r>
        <w:rPr>
          <w:rFonts w:ascii="Calibri" w:cs="Calibri" w:eastAsia="Calibri" w:hAnsi="Calibri"/>
          <w:sz w:val="18"/>
          <w:szCs w:val="18"/>
          <w:color w:val="auto"/>
        </w:rPr>
        <w:t>Notwithstanding the above, no incentve awards shall be paid under the AIP unless the AIP is approved by the requisite shareholders of the Company.</w:t>
      </w:r>
    </w:p>
    <w:p>
      <w:pPr>
        <w:spacing w:after="0" w:line="231"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Disability</w:t>
      </w:r>
      <w:r>
        <w:rPr>
          <w:rFonts w:ascii="Calibri" w:cs="Calibri" w:eastAsia="Calibri" w:hAnsi="Calibri"/>
          <w:sz w:val="18"/>
          <w:szCs w:val="18"/>
          <w:color w:val="auto"/>
        </w:rPr>
        <w:t>” means the complete and permanent inability of the partcipant to perform all dutes under the terms of his, her or their employment, as determined by the Commitee upon the basis of such evidence, including independent medical reports and data, as the Commitee deems appropriate or necessary.</w:t>
      </w:r>
    </w:p>
    <w:p>
      <w:pPr>
        <w:spacing w:after="0" w:line="233"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Retrement</w:t>
      </w:r>
      <w:r>
        <w:rPr>
          <w:rFonts w:ascii="Calibri" w:cs="Calibri" w:eastAsia="Calibri" w:hAnsi="Calibri"/>
          <w:sz w:val="18"/>
          <w:szCs w:val="18"/>
          <w:color w:val="auto"/>
        </w:rPr>
        <w:t>” means the terminaton of the partcipant's employment (either by the Company or an afliate, or the Partcipant), if, at the tme of such terminaton, the partcipant is at least age 55 and has completed 10 years of service with the Company or an afliate, or the partcipant is age 65 or older.</w:t>
      </w:r>
    </w:p>
    <w:p>
      <w:pPr>
        <w:spacing w:after="0" w:line="282" w:lineRule="exact"/>
        <w:rPr>
          <w:sz w:val="20"/>
          <w:szCs w:val="20"/>
          <w:color w:val="auto"/>
        </w:rPr>
      </w:pPr>
    </w:p>
    <w:p>
      <w:pPr>
        <w:ind w:left="360" w:hanging="334"/>
        <w:spacing w:after="0"/>
        <w:tabs>
          <w:tab w:leader="none" w:pos="360" w:val="left"/>
        </w:tabs>
        <w:numPr>
          <w:ilvl w:val="0"/>
          <w:numId w:val="30"/>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Other Terms and Conditons</w:t>
      </w:r>
    </w:p>
    <w:p>
      <w:pPr>
        <w:spacing w:after="0" w:line="109" w:lineRule="exact"/>
        <w:rPr>
          <w:sz w:val="20"/>
          <w:szCs w:val="20"/>
          <w:color w:val="auto"/>
        </w:rPr>
      </w:pPr>
    </w:p>
    <w:p>
      <w:pPr>
        <w:ind w:right="60"/>
        <w:spacing w:after="0" w:line="220" w:lineRule="auto"/>
        <w:rPr>
          <w:sz w:val="20"/>
          <w:szCs w:val="20"/>
          <w:color w:val="auto"/>
        </w:rPr>
      </w:pPr>
      <w:r>
        <w:rPr>
          <w:rFonts w:ascii="Calibri" w:cs="Calibri" w:eastAsia="Calibri" w:hAnsi="Calibri"/>
          <w:sz w:val="18"/>
          <w:szCs w:val="18"/>
          <w:color w:val="auto"/>
        </w:rPr>
        <w:t>Any award made under this AIP shall be subject to the discreton of the Commitee. No person shall have any legal claim to be granted an award under the AIP and the Commitee shall have no obligaton to treat partcipants uniformly. Except as may be otherwise required by law, incentve awards under the AIP shall not be subject in any manner to antcipaton, alienaton, sale, transfer, assignment, pledge, encumbrance, charge, garnishment, executon, or levy of any kind, either voluntary or involuntary. Incentve awards granted under the AIP shall be payable from the general assets of the Company, and no partcipant shall have any claim with respect to any specifc assets of the Company.</w:t>
      </w:r>
    </w:p>
    <w:p>
      <w:pPr>
        <w:spacing w:after="0" w:line="235" w:lineRule="exact"/>
        <w:rPr>
          <w:sz w:val="20"/>
          <w:szCs w:val="20"/>
          <w:color w:val="auto"/>
        </w:rPr>
      </w:pPr>
    </w:p>
    <w:p>
      <w:pPr>
        <w:ind w:right="660"/>
        <w:spacing w:after="0" w:line="227" w:lineRule="auto"/>
        <w:rPr>
          <w:sz w:val="20"/>
          <w:szCs w:val="20"/>
          <w:color w:val="auto"/>
        </w:rPr>
      </w:pPr>
      <w:r>
        <w:rPr>
          <w:rFonts w:ascii="Calibri" w:cs="Calibri" w:eastAsia="Calibri" w:hAnsi="Calibri"/>
          <w:sz w:val="18"/>
          <w:szCs w:val="18"/>
          <w:color w:val="auto"/>
        </w:rPr>
        <w:t>Nothing contained in the AIP shall give any partcipant the right to contnue in the employment of the Company or afect the right of the Company to terminate the employment of a partcipant.</w:t>
      </w:r>
    </w:p>
    <w:p>
      <w:pPr>
        <w:spacing w:after="0" w:line="232" w:lineRule="exact"/>
        <w:rPr>
          <w:sz w:val="20"/>
          <w:szCs w:val="20"/>
          <w:color w:val="auto"/>
        </w:rPr>
      </w:pPr>
    </w:p>
    <w:p>
      <w:pPr>
        <w:spacing w:after="0" w:line="237" w:lineRule="auto"/>
        <w:rPr>
          <w:sz w:val="20"/>
          <w:szCs w:val="20"/>
          <w:color w:val="auto"/>
        </w:rPr>
      </w:pPr>
      <w:r>
        <w:rPr>
          <w:rFonts w:ascii="Calibri" w:cs="Calibri" w:eastAsia="Calibri" w:hAnsi="Calibri"/>
          <w:sz w:val="17"/>
          <w:szCs w:val="17"/>
          <w:color w:val="auto"/>
        </w:rPr>
        <w:t>The Company retains the right to deduct from any incentve awards paid under the AIP any Federal, state, local or foreign taxes required by law to be withheld with respect to such payment. In additon, if the Company in its reasonable judgment determines that a partcipant owes the Company any amount due to any loan, obligaton or indebtedness, including amounts owed under the Company’s tax equalizaton program or the Company’s policies with respect to travel and business expenses, and the Partcipant has not satsfed these obligaton(s), the Company may withhold and/or deduct funds equal to the amount of the obligaton from payments under the AIP due to the Company from the partcipant to the maximum extent permited by Code Secton 409A.</w:t>
      </w:r>
    </w:p>
    <w:p>
      <w:pPr>
        <w:spacing w:after="0" w:line="231" w:lineRule="exact"/>
        <w:rPr>
          <w:sz w:val="20"/>
          <w:szCs w:val="20"/>
          <w:color w:val="auto"/>
        </w:rPr>
      </w:pPr>
    </w:p>
    <w:p>
      <w:pPr>
        <w:ind w:right="80"/>
        <w:spacing w:after="0" w:line="220" w:lineRule="auto"/>
        <w:rPr>
          <w:sz w:val="20"/>
          <w:szCs w:val="20"/>
          <w:color w:val="auto"/>
        </w:rPr>
      </w:pPr>
      <w:r>
        <w:rPr>
          <w:rFonts w:ascii="Calibri" w:cs="Calibri" w:eastAsia="Calibri" w:hAnsi="Calibri"/>
          <w:sz w:val="18"/>
          <w:szCs w:val="18"/>
          <w:color w:val="auto"/>
        </w:rPr>
        <w:t>If the partcipant is covered by the Company’s Clawback Policy, the Awards granted under the AIP will be subject to the Policy and may be subject to recovery (in whole or in part) by the Company. The Policy may be amended from tme to tme by the Commitee, including amendments to comply with applicable laws, regulatons or stock exchange listng requirements.</w:t>
      </w:r>
    </w:p>
    <w:p>
      <w:pPr>
        <w:spacing w:after="0" w:line="282" w:lineRule="exact"/>
        <w:rPr>
          <w:sz w:val="20"/>
          <w:szCs w:val="20"/>
          <w:color w:val="auto"/>
        </w:rPr>
      </w:pPr>
    </w:p>
    <w:p>
      <w:pPr>
        <w:ind w:left="360" w:hanging="334"/>
        <w:spacing w:after="0"/>
        <w:tabs>
          <w:tab w:leader="none" w:pos="360" w:val="left"/>
        </w:tabs>
        <w:numPr>
          <w:ilvl w:val="0"/>
          <w:numId w:val="31"/>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 xml:space="preserve">“Change in Control” </w:t>
      </w:r>
      <w:r>
        <w:rPr>
          <w:rFonts w:ascii="Calibri" w:cs="Calibri" w:eastAsia="Calibri" w:hAnsi="Calibri"/>
          <w:sz w:val="18"/>
          <w:szCs w:val="18"/>
          <w:color w:val="auto"/>
        </w:rPr>
        <w:t>means the occurrence of any of the following:</w:t>
      </w:r>
    </w:p>
    <w:p>
      <w:pPr>
        <w:spacing w:after="0" w:line="109" w:lineRule="exact"/>
        <w:rPr>
          <w:rFonts w:ascii="Calibri" w:cs="Calibri" w:eastAsia="Calibri" w:hAnsi="Calibri"/>
          <w:sz w:val="18"/>
          <w:szCs w:val="18"/>
          <w:b w:val="1"/>
          <w:bCs w:val="1"/>
          <w:color w:val="auto"/>
        </w:rPr>
      </w:pPr>
    </w:p>
    <w:p>
      <w:pPr>
        <w:ind w:left="660" w:right="300" w:hanging="328"/>
        <w:spacing w:after="0" w:line="225" w:lineRule="auto"/>
        <w:tabs>
          <w:tab w:leader="none" w:pos="650" w:val="left"/>
        </w:tabs>
        <w:numPr>
          <w:ilvl w:val="1"/>
          <w:numId w:val="31"/>
        </w:numPr>
        <w:rPr>
          <w:rFonts w:ascii="Calibri" w:cs="Calibri" w:eastAsia="Calibri" w:hAnsi="Calibri"/>
          <w:sz w:val="18"/>
          <w:szCs w:val="18"/>
          <w:color w:val="auto"/>
        </w:rPr>
      </w:pPr>
      <w:r>
        <w:rPr>
          <w:rFonts w:ascii="Calibri" w:cs="Calibri" w:eastAsia="Calibri" w:hAnsi="Calibri"/>
          <w:sz w:val="18"/>
          <w:szCs w:val="18"/>
          <w:color w:val="auto"/>
        </w:rPr>
        <w:t>A person or group (as defned in Sectons 13(d) and 14(d) of the Exchange Act) (other than the Company or a subsidiary of the Company or any employee beneft plan sponsored by the Company or a subsidiary) becomes the benefcial owner (as defned in Rules 13d-3 and 13d-5 under the Act) of 30% or more of the outstanding common stock of Xylem Inc. (the “Stock”);</w:t>
      </w:r>
    </w:p>
    <w:p>
      <w:pPr>
        <w:spacing w:after="0" w:line="232" w:lineRule="exact"/>
        <w:rPr>
          <w:rFonts w:ascii="Calibri" w:cs="Calibri" w:eastAsia="Calibri" w:hAnsi="Calibri"/>
          <w:sz w:val="18"/>
          <w:szCs w:val="18"/>
          <w:color w:val="auto"/>
        </w:rPr>
      </w:pPr>
    </w:p>
    <w:p>
      <w:pPr>
        <w:ind w:left="660" w:right="600" w:hanging="328"/>
        <w:spacing w:after="0" w:line="227" w:lineRule="auto"/>
        <w:tabs>
          <w:tab w:leader="none" w:pos="650" w:val="left"/>
        </w:tabs>
        <w:numPr>
          <w:ilvl w:val="1"/>
          <w:numId w:val="31"/>
        </w:numPr>
        <w:rPr>
          <w:rFonts w:ascii="Calibri" w:cs="Calibri" w:eastAsia="Calibri" w:hAnsi="Calibri"/>
          <w:sz w:val="18"/>
          <w:szCs w:val="18"/>
          <w:color w:val="auto"/>
        </w:rPr>
      </w:pPr>
      <w:r>
        <w:rPr>
          <w:rFonts w:ascii="Calibri" w:cs="Calibri" w:eastAsia="Calibri" w:hAnsi="Calibri"/>
          <w:sz w:val="18"/>
          <w:szCs w:val="18"/>
          <w:color w:val="auto"/>
        </w:rPr>
        <w:t>any person or group (other than the Company or a subsidiary of the Company, or any employee beneft plan sponsored by the Company or a subsidiary) purchases shares to acquire Stock (or securites</w:t>
      </w:r>
    </w:p>
    <w:p>
      <w:pPr>
        <w:sectPr>
          <w:pgSz w:w="11900" w:h="16838" w:orient="portrait"/>
          <w:cols w:equalWidth="0" w:num="1">
            <w:col w:w="11240"/>
          </w:cols>
          <w:pgMar w:left="320" w:top="585" w:right="339" w:bottom="1440" w:gutter="0" w:footer="0" w:header="0"/>
        </w:sectPr>
      </w:pPr>
    </w:p>
    <w:bookmarkStart w:id="60" w:name="page61"/>
    <w:bookmarkEnd w:id="60"/>
    <w:p>
      <w:pPr>
        <w:jc w:val="right"/>
        <w:spacing w:after="0"/>
        <w:rPr>
          <w:sz w:val="20"/>
          <w:szCs w:val="20"/>
          <w:color w:val="auto"/>
        </w:rPr>
      </w:pPr>
      <w:r>
        <w:rPr>
          <w:rFonts w:ascii="Calibri" w:cs="Calibri" w:eastAsia="Calibri" w:hAnsi="Calibri"/>
          <w:sz w:val="18"/>
          <w:szCs w:val="18"/>
          <w:color w:val="auto"/>
        </w:rPr>
        <w:t>Restated, with administratve changes only, on July 11, 2022</w:t>
      </w:r>
    </w:p>
    <w:p>
      <w:pPr>
        <w:spacing w:after="0" w:line="200" w:lineRule="exact"/>
        <w:rPr>
          <w:sz w:val="20"/>
          <w:szCs w:val="20"/>
          <w:color w:val="auto"/>
        </w:rPr>
      </w:pPr>
    </w:p>
    <w:p>
      <w:pPr>
        <w:spacing w:after="0" w:line="395" w:lineRule="exact"/>
        <w:rPr>
          <w:sz w:val="20"/>
          <w:szCs w:val="20"/>
          <w:color w:val="auto"/>
        </w:rPr>
      </w:pPr>
    </w:p>
    <w:p>
      <w:pPr>
        <w:ind w:left="660" w:right="80"/>
        <w:spacing w:after="0" w:line="227" w:lineRule="auto"/>
        <w:rPr>
          <w:sz w:val="20"/>
          <w:szCs w:val="20"/>
          <w:color w:val="auto"/>
        </w:rPr>
      </w:pPr>
      <w:r>
        <w:rPr>
          <w:rFonts w:ascii="Calibri" w:cs="Calibri" w:eastAsia="Calibri" w:hAnsi="Calibri"/>
          <w:sz w:val="18"/>
          <w:szCs w:val="18"/>
          <w:color w:val="auto"/>
        </w:rPr>
        <w:t>convertble into Stock) through a tender ofer or exchange ofer where afer consummaton of the ofer, the person in queston will be the benefcial owner, directly or indirectly, of 30% or more of Stock;</w:t>
      </w:r>
    </w:p>
    <w:p>
      <w:pPr>
        <w:spacing w:after="0" w:line="232" w:lineRule="exact"/>
        <w:rPr>
          <w:sz w:val="20"/>
          <w:szCs w:val="20"/>
          <w:color w:val="auto"/>
        </w:rPr>
      </w:pPr>
    </w:p>
    <w:p>
      <w:pPr>
        <w:ind w:left="660" w:right="60" w:hanging="328"/>
        <w:spacing w:after="0" w:line="220" w:lineRule="auto"/>
        <w:tabs>
          <w:tab w:leader="none" w:pos="649"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the consummaton of (A) any consolidaton, business combinaton or merger involving the Company, except where holders of Stock immediately prior to the consolidaton, business combinaton or merger (x) contnue to hold 50% or more of the combined votng power of the Company (or the corporaton resultng from the merger or consolidaton or the parent of such corporaton) afer the merger and (y) have the same proportonate ownership of Stock of the Company (or the corporaton resultng from the merger or consolidaton or the parent of such corporaton), relatve to other holders of Stock immediately afer the transacton as immediately before, or (B) any sale, lease, exchange or other transfer (in one transacton or a series of related transactons) of all or substantally all the assets of the Company;</w:t>
      </w:r>
    </w:p>
    <w:p>
      <w:pPr>
        <w:spacing w:after="0" w:line="235" w:lineRule="exact"/>
        <w:rPr>
          <w:rFonts w:ascii="Calibri" w:cs="Calibri" w:eastAsia="Calibri" w:hAnsi="Calibri"/>
          <w:sz w:val="18"/>
          <w:szCs w:val="18"/>
          <w:color w:val="auto"/>
        </w:rPr>
      </w:pPr>
    </w:p>
    <w:p>
      <w:pPr>
        <w:ind w:left="660" w:right="20" w:hanging="328"/>
        <w:spacing w:after="0" w:line="224" w:lineRule="auto"/>
        <w:tabs>
          <w:tab w:leader="none" w:pos="633"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there is a change in a majority of the members of the Board of Directors of the Company within a 12-month period unless the electon or nominaton by the Company’s stockholders of each new director during such 12-month period was approved by the vote of 2/3rds of the directors then stll in ofce who (x) were directors at the beginning of the 12-month period or (y) whose nominaton or electon as directors was recommended or approved by a majority of the directors who were directors at the beginning of the 12-month period; or</w:t>
      </w:r>
    </w:p>
    <w:p>
      <w:pPr>
        <w:spacing w:after="0" w:line="232" w:lineRule="exact"/>
        <w:rPr>
          <w:rFonts w:ascii="Calibri" w:cs="Calibri" w:eastAsia="Calibri" w:hAnsi="Calibri"/>
          <w:sz w:val="18"/>
          <w:szCs w:val="18"/>
          <w:color w:val="auto"/>
        </w:rPr>
      </w:pPr>
    </w:p>
    <w:p>
      <w:pPr>
        <w:ind w:left="660" w:right="700" w:hanging="328"/>
        <w:spacing w:after="0" w:line="227" w:lineRule="auto"/>
        <w:tabs>
          <w:tab w:leader="none" w:pos="634"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approval by the Company’s shareholders of a plan of complete liquidaton or dissoluton of the Company, other than a plan of liquidaton or dissoluton which results in the acquisiton of all or substantally all of the assets by an Afliate of the Company.</w:t>
      </w:r>
    </w:p>
    <w:p>
      <w:pPr>
        <w:spacing w:after="0" w:line="232" w:lineRule="exact"/>
        <w:rPr>
          <w:sz w:val="20"/>
          <w:szCs w:val="20"/>
          <w:color w:val="auto"/>
        </w:rPr>
      </w:pPr>
    </w:p>
    <w:p>
      <w:pPr>
        <w:ind w:right="60"/>
        <w:spacing w:after="0" w:line="224" w:lineRule="auto"/>
        <w:rPr>
          <w:sz w:val="20"/>
          <w:szCs w:val="20"/>
          <w:color w:val="auto"/>
        </w:rPr>
      </w:pPr>
      <w:r>
        <w:rPr>
          <w:rFonts w:ascii="Calibri" w:cs="Calibri" w:eastAsia="Calibri" w:hAnsi="Calibri"/>
          <w:sz w:val="18"/>
          <w:szCs w:val="18"/>
          <w:color w:val="auto"/>
        </w:rPr>
        <w:t>Upon the occurrence of a Change in Control, the Performance Measures for each Performance Period with respect to which incentve awards may be payable under the AIP shall be deemed to be achieved at the greater of (i) the Performance Target established for such Performance Measures or (ii) the Company’s actual achievement of such Performance Measures as of the Change in Control. Payment of the incentve awards, for the full year, will be made to each partcipant, in cash, within fve (5) business days following such Change in Control.</w:t>
      </w:r>
    </w:p>
    <w:p>
      <w:pPr>
        <w:spacing w:after="0" w:line="282" w:lineRule="exact"/>
        <w:rPr>
          <w:sz w:val="20"/>
          <w:szCs w:val="20"/>
          <w:color w:val="auto"/>
        </w:rPr>
      </w:pPr>
    </w:p>
    <w:p>
      <w:pPr>
        <w:ind w:left="380" w:hanging="354"/>
        <w:spacing w:after="0"/>
        <w:tabs>
          <w:tab w:leader="none" w:pos="380" w:val="left"/>
        </w:tabs>
        <w:numPr>
          <w:ilvl w:val="0"/>
          <w:numId w:val="33"/>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Governing Law</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This AIP will be construed and governed in accordance with the laws of the State of New York.</w:t>
      </w:r>
    </w:p>
    <w:p>
      <w:pPr>
        <w:sectPr>
          <w:pgSz w:w="11900" w:h="16838" w:orient="portrait"/>
          <w:cols w:equalWidth="0" w:num="1">
            <w:col w:w="11240"/>
          </w:cols>
          <w:pgMar w:left="320" w:top="585" w:right="339" w:bottom="1440" w:gutter="0" w:footer="0" w:header="0"/>
        </w:sectPr>
      </w:pPr>
    </w:p>
    <w:bookmarkStart w:id="61" w:name="page62"/>
    <w:bookmarkEnd w:id="61"/>
    <w:p>
      <w:pPr>
        <w:jc w:val="right"/>
        <w:spacing w:after="0"/>
        <w:rPr>
          <w:sz w:val="20"/>
          <w:szCs w:val="20"/>
          <w:color w:val="auto"/>
        </w:rPr>
      </w:pPr>
      <w:r>
        <w:rPr>
          <w:rFonts w:ascii="Calibri" w:cs="Calibri" w:eastAsia="Calibri" w:hAnsi="Calibri"/>
          <w:sz w:val="18"/>
          <w:szCs w:val="18"/>
          <w:color w:val="auto"/>
        </w:rPr>
        <w:t>Restated, with administratve changes only, on July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XYLEM</w:t>
      </w:r>
    </w:p>
    <w:p>
      <w:pPr>
        <w:jc w:val="center"/>
        <w:spacing w:after="0" w:line="195" w:lineRule="auto"/>
        <w:rPr>
          <w:sz w:val="20"/>
          <w:szCs w:val="20"/>
          <w:color w:val="auto"/>
        </w:rPr>
      </w:pPr>
      <w:r>
        <w:rPr>
          <w:rFonts w:ascii="Calibri" w:cs="Calibri" w:eastAsia="Calibri" w:hAnsi="Calibri"/>
          <w:sz w:val="18"/>
          <w:szCs w:val="18"/>
          <w:b w:val="1"/>
          <w:bCs w:val="1"/>
          <w:color w:val="auto"/>
        </w:rPr>
        <w:t>SPECIAL SENIOR EXECUTIVE SEVERANCE PAY PLAN</w:t>
      </w:r>
    </w:p>
    <w:p>
      <w:pPr>
        <w:spacing w:after="0" w:line="375"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b w:val="1"/>
          <w:bCs w:val="1"/>
          <w:color w:val="auto"/>
        </w:rPr>
        <w:t>1.</w:t>
      </w:r>
      <w:r>
        <w:rPr>
          <w:sz w:val="20"/>
          <w:szCs w:val="20"/>
          <w:color w:val="auto"/>
        </w:rPr>
        <w:tab/>
      </w:r>
      <w:r>
        <w:rPr>
          <w:rFonts w:ascii="Calibri" w:cs="Calibri" w:eastAsia="Calibri" w:hAnsi="Calibri"/>
          <w:sz w:val="17"/>
          <w:szCs w:val="17"/>
          <w:b w:val="1"/>
          <w:bCs w:val="1"/>
          <w:color w:val="auto"/>
        </w:rPr>
        <w:t>Purpose</w:t>
      </w:r>
    </w:p>
    <w:p>
      <w:pPr>
        <w:spacing w:after="0" w:line="42" w:lineRule="exact"/>
        <w:rPr>
          <w:sz w:val="20"/>
          <w:szCs w:val="20"/>
          <w:color w:val="auto"/>
        </w:rPr>
      </w:pPr>
    </w:p>
    <w:p>
      <w:pPr>
        <w:jc w:val="both"/>
        <w:ind w:firstLine="6"/>
        <w:spacing w:after="0" w:line="213" w:lineRule="auto"/>
        <w:rPr>
          <w:sz w:val="20"/>
          <w:szCs w:val="20"/>
          <w:color w:val="auto"/>
        </w:rPr>
      </w:pPr>
      <w:r>
        <w:rPr>
          <w:rFonts w:ascii="Calibri" w:cs="Calibri" w:eastAsia="Calibri" w:hAnsi="Calibri"/>
          <w:sz w:val="18"/>
          <w:szCs w:val="18"/>
          <w:color w:val="auto"/>
        </w:rPr>
        <w:t>The purpose of this Xylem Special Senior Executve Severance Pay Plan (“</w:t>
      </w:r>
      <w:r>
        <w:rPr>
          <w:rFonts w:ascii="Calibri" w:cs="Calibri" w:eastAsia="Calibri" w:hAnsi="Calibri"/>
          <w:sz w:val="18"/>
          <w:szCs w:val="18"/>
          <w:b w:val="1"/>
          <w:bCs w:val="1"/>
          <w:color w:val="auto"/>
        </w:rPr>
        <w:t>Plan</w:t>
      </w:r>
      <w:r>
        <w:rPr>
          <w:rFonts w:ascii="Calibri" w:cs="Calibri" w:eastAsia="Calibri" w:hAnsi="Calibri"/>
          <w:sz w:val="18"/>
          <w:szCs w:val="18"/>
          <w:color w:val="auto"/>
        </w:rPr>
        <w:t>”) is to assist in occupatonal transiton by providing Severance Benefts for employees covered by this Plan whose employment is terminated under conditons set forth in this Plan.</w:t>
      </w:r>
    </w:p>
    <w:p>
      <w:pPr>
        <w:spacing w:after="0" w:line="298" w:lineRule="exact"/>
        <w:rPr>
          <w:sz w:val="20"/>
          <w:szCs w:val="20"/>
          <w:color w:val="auto"/>
        </w:rPr>
      </w:pPr>
    </w:p>
    <w:p>
      <w:pPr>
        <w:jc w:val="both"/>
        <w:ind w:firstLine="6"/>
        <w:spacing w:after="0" w:line="206" w:lineRule="auto"/>
        <w:rPr>
          <w:sz w:val="20"/>
          <w:szCs w:val="20"/>
          <w:color w:val="auto"/>
        </w:rPr>
      </w:pPr>
      <w:r>
        <w:rPr>
          <w:rFonts w:ascii="Calibri" w:cs="Calibri" w:eastAsia="Calibri" w:hAnsi="Calibri"/>
          <w:sz w:val="18"/>
          <w:szCs w:val="18"/>
          <w:color w:val="auto"/>
        </w:rPr>
        <w:t>The Plan frst became efectve as of October 31, 2011 following the spin-of of Xylem Inc. from ITT Corporaton (the “</w:t>
      </w:r>
      <w:r>
        <w:rPr>
          <w:rFonts w:ascii="Calibri" w:cs="Calibri" w:eastAsia="Calibri" w:hAnsi="Calibri"/>
          <w:sz w:val="18"/>
          <w:szCs w:val="18"/>
          <w:b w:val="1"/>
          <w:bCs w:val="1"/>
          <w:color w:val="auto"/>
        </w:rPr>
        <w:t>Predecessor Corporaton</w:t>
      </w:r>
      <w:r>
        <w:rPr>
          <w:rFonts w:ascii="Calibri" w:cs="Calibri" w:eastAsia="Calibri" w:hAnsi="Calibri"/>
          <w:sz w:val="18"/>
          <w:szCs w:val="18"/>
          <w:color w:val="auto"/>
        </w:rPr>
        <w:t>”) on October 31, 2011. The Predecessor Corporaton maintained a similar plan prior to the spin-of (the “</w:t>
      </w:r>
      <w:r>
        <w:rPr>
          <w:rFonts w:ascii="Calibri" w:cs="Calibri" w:eastAsia="Calibri" w:hAnsi="Calibri"/>
          <w:sz w:val="18"/>
          <w:szCs w:val="18"/>
          <w:b w:val="1"/>
          <w:bCs w:val="1"/>
          <w:color w:val="auto"/>
        </w:rPr>
        <w:t>Predecessor Plan</w:t>
      </w:r>
      <w:r>
        <w:rPr>
          <w:rFonts w:ascii="Calibri" w:cs="Calibri" w:eastAsia="Calibri" w:hAnsi="Calibri"/>
          <w:sz w:val="18"/>
          <w:szCs w:val="18"/>
          <w:color w:val="auto"/>
        </w:rPr>
        <w:t>”), and the Plan was created to contnue service accruals under the Predecessor Plan. The Plan will remain in efect as provided in Secton 9 hereof, and covered employees will receive full credit for their service and partcipaton with the Predecessor Corporaton as provided in Secton 5 hereof.</w:t>
      </w:r>
    </w:p>
    <w:p>
      <w:pPr>
        <w:spacing w:after="0" w:line="280"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b w:val="1"/>
          <w:bCs w:val="1"/>
          <w:color w:val="auto"/>
        </w:rPr>
        <w:t>2.</w:t>
      </w:r>
      <w:r>
        <w:rPr>
          <w:sz w:val="20"/>
          <w:szCs w:val="20"/>
          <w:color w:val="auto"/>
        </w:rPr>
        <w:tab/>
      </w:r>
      <w:r>
        <w:rPr>
          <w:rFonts w:ascii="Calibri" w:cs="Calibri" w:eastAsia="Calibri" w:hAnsi="Calibri"/>
          <w:sz w:val="17"/>
          <w:szCs w:val="17"/>
          <w:b w:val="1"/>
          <w:bCs w:val="1"/>
          <w:color w:val="auto"/>
        </w:rPr>
        <w:t>Covered Employees</w:t>
      </w:r>
    </w:p>
    <w:p>
      <w:pPr>
        <w:spacing w:after="0" w:line="42" w:lineRule="exact"/>
        <w:rPr>
          <w:sz w:val="20"/>
          <w:szCs w:val="20"/>
          <w:color w:val="auto"/>
        </w:rPr>
      </w:pPr>
    </w:p>
    <w:p>
      <w:pPr>
        <w:jc w:val="both"/>
        <w:ind w:firstLine="6"/>
        <w:spacing w:after="0" w:line="202" w:lineRule="auto"/>
        <w:rPr>
          <w:sz w:val="20"/>
          <w:szCs w:val="20"/>
          <w:color w:val="auto"/>
        </w:rPr>
      </w:pPr>
      <w:r>
        <w:rPr>
          <w:rFonts w:ascii="Calibri" w:cs="Calibri" w:eastAsia="Calibri" w:hAnsi="Calibri"/>
          <w:sz w:val="18"/>
          <w:szCs w:val="18"/>
          <w:color w:val="auto"/>
        </w:rPr>
        <w:t>Covered employees under this Plan (“</w:t>
      </w:r>
      <w:r>
        <w:rPr>
          <w:rFonts w:ascii="Calibri" w:cs="Calibri" w:eastAsia="Calibri" w:hAnsi="Calibri"/>
          <w:sz w:val="18"/>
          <w:szCs w:val="18"/>
          <w:b w:val="1"/>
          <w:bCs w:val="1"/>
          <w:color w:val="auto"/>
        </w:rPr>
        <w:t>Executves</w:t>
      </w:r>
      <w:r>
        <w:rPr>
          <w:rFonts w:ascii="Calibri" w:cs="Calibri" w:eastAsia="Calibri" w:hAnsi="Calibri"/>
          <w:sz w:val="18"/>
          <w:szCs w:val="18"/>
          <w:color w:val="auto"/>
        </w:rPr>
        <w:t>”) are actve full-tme, regular salaried employees of Xylem Inc., (“</w:t>
      </w:r>
      <w:r>
        <w:rPr>
          <w:rFonts w:ascii="Calibri" w:cs="Calibri" w:eastAsia="Calibri" w:hAnsi="Calibri"/>
          <w:sz w:val="18"/>
          <w:szCs w:val="18"/>
          <w:b w:val="1"/>
          <w:bCs w:val="1"/>
          <w:color w:val="auto"/>
        </w:rPr>
        <w:t>Xylem</w:t>
      </w:r>
      <w:r>
        <w:rPr>
          <w:rFonts w:ascii="Calibri" w:cs="Calibri" w:eastAsia="Calibri" w:hAnsi="Calibri"/>
          <w:sz w:val="18"/>
          <w:szCs w:val="18"/>
          <w:color w:val="auto"/>
        </w:rPr>
        <w:t>”) and of any subsidiary company (“</w:t>
      </w:r>
      <w:r>
        <w:rPr>
          <w:rFonts w:ascii="Calibri" w:cs="Calibri" w:eastAsia="Calibri" w:hAnsi="Calibri"/>
          <w:sz w:val="18"/>
          <w:szCs w:val="18"/>
          <w:b w:val="1"/>
          <w:bCs w:val="1"/>
          <w:color w:val="auto"/>
        </w:rPr>
        <w:t>Xylem Subsidiary</w:t>
      </w:r>
      <w:r>
        <w:rPr>
          <w:rFonts w:ascii="Calibri" w:cs="Calibri" w:eastAsia="Calibri" w:hAnsi="Calibri"/>
          <w:sz w:val="18"/>
          <w:szCs w:val="18"/>
          <w:color w:val="auto"/>
        </w:rPr>
        <w:t>”) (collectvely or individually as the context requires “</w:t>
      </w:r>
      <w:r>
        <w:rPr>
          <w:rFonts w:ascii="Calibri" w:cs="Calibri" w:eastAsia="Calibri" w:hAnsi="Calibri"/>
          <w:sz w:val="18"/>
          <w:szCs w:val="18"/>
          <w:b w:val="1"/>
          <w:bCs w:val="1"/>
          <w:color w:val="auto"/>
        </w:rPr>
        <w:t>Company</w:t>
      </w:r>
      <w:r>
        <w:rPr>
          <w:rFonts w:ascii="Calibri" w:cs="Calibri" w:eastAsia="Calibri" w:hAnsi="Calibri"/>
          <w:sz w:val="18"/>
          <w:szCs w:val="18"/>
          <w:color w:val="auto"/>
        </w:rPr>
        <w:t>”; provided, however, that for purposes of service under the Predecessor Plan, Company will include the Predecessor Corporaton) (including Executves who are short term disabled as of a Potental Change in Control within the meaning of the Company’s short term disability plans) (other than Executves on periodic severance as of a Potental Change in Control) who are in Band A or were in Band A at any tme within the two year period immediately preceding a Change in Control and such other employees of the Company who will be designated as covered employees in Band A under the Plan by the Leadership Development and Compensaton Commitee of Xylem’s Board of Directors. Executves who are employed outside of the United States are eligible for country specifc severance benefts (only) if the country specifc severance benefts are higher than the severance benefts listed below.</w:t>
      </w:r>
    </w:p>
    <w:p>
      <w:pPr>
        <w:spacing w:after="0" w:line="289" w:lineRule="exact"/>
        <w:rPr>
          <w:sz w:val="20"/>
          <w:szCs w:val="20"/>
          <w:color w:val="auto"/>
        </w:rPr>
      </w:pPr>
    </w:p>
    <w:p>
      <w:pPr>
        <w:jc w:val="both"/>
        <w:ind w:firstLine="6"/>
        <w:spacing w:after="0" w:line="213"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Band A</w:t>
      </w:r>
      <w:r>
        <w:rPr>
          <w:rFonts w:ascii="Calibri" w:cs="Calibri" w:eastAsia="Calibri" w:hAnsi="Calibri"/>
          <w:sz w:val="18"/>
          <w:szCs w:val="18"/>
          <w:color w:val="auto"/>
        </w:rPr>
        <w:t>” will have the meaning given such terms under the executve classifcaton system of the Xylem Human Resources Department as in efect immediately preceding a Change in Control.</w:t>
      </w:r>
    </w:p>
    <w:p>
      <w:pPr>
        <w:spacing w:after="0" w:line="298" w:lineRule="exact"/>
        <w:rPr>
          <w:sz w:val="20"/>
          <w:szCs w:val="20"/>
          <w:color w:val="auto"/>
        </w:rPr>
      </w:pPr>
    </w:p>
    <w:p>
      <w:pPr>
        <w:jc w:val="both"/>
        <w:ind w:firstLine="6"/>
        <w:spacing w:after="0" w:line="213" w:lineRule="auto"/>
        <w:rPr>
          <w:sz w:val="20"/>
          <w:szCs w:val="20"/>
          <w:color w:val="auto"/>
        </w:rPr>
      </w:pPr>
      <w:r>
        <w:rPr>
          <w:rFonts w:ascii="Calibri" w:cs="Calibri" w:eastAsia="Calibri" w:hAnsi="Calibri"/>
          <w:sz w:val="18"/>
          <w:szCs w:val="18"/>
          <w:color w:val="auto"/>
        </w:rPr>
        <w:t>Afer the occurrence of a Change in Control, the terms “Xylem”, “Xylem Subsidiary” and “Company” as used herein will also include, respectvely and as the context requires, any successor company to Xylem or any successor company to any Xylem Subsidiary and any afliate of any such successor company.</w:t>
      </w:r>
    </w:p>
    <w:p>
      <w:pPr>
        <w:spacing w:after="0" w:line="361"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b w:val="1"/>
          <w:bCs w:val="1"/>
          <w:color w:val="auto"/>
        </w:rPr>
        <w:t>3.</w:t>
        <w:tab/>
        <w:t>Defnitons</w:t>
      </w:r>
    </w:p>
    <w:p>
      <w:pPr>
        <w:spacing w:after="0" w:line="55" w:lineRule="exact"/>
        <w:rPr>
          <w:sz w:val="20"/>
          <w:szCs w:val="20"/>
          <w:color w:val="auto"/>
        </w:rPr>
      </w:pPr>
    </w:p>
    <w:p>
      <w:pPr>
        <w:jc w:val="both"/>
        <w:ind w:right="80"/>
        <w:spacing w:after="0" w:line="206"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Cause</w:t>
      </w:r>
      <w:r>
        <w:rPr>
          <w:rFonts w:ascii="Calibri" w:cs="Calibri" w:eastAsia="Calibri" w:hAnsi="Calibri"/>
          <w:sz w:val="18"/>
          <w:szCs w:val="18"/>
          <w:color w:val="auto"/>
        </w:rPr>
        <w:t>” means (i) the Executve’s willful and contnued failure to substantally perform his or her dutes with the Company (other than any such failure resultng from the Executve’s incapacity due to physical or mental illness) or (ii) the Executve willfully engaging in conduct that demonstrably and materially injures the Company or its Afliates, monetarily or otherwise. “Willful” means the acton is done or omited in bad faith or without reasonable belief that the acton or omission was in the best interests of the Company.</w:t>
      </w:r>
    </w:p>
    <w:p>
      <w:pPr>
        <w:spacing w:after="0" w:line="2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“Change in Control” </w:t>
      </w:r>
      <w:r>
        <w:rPr>
          <w:rFonts w:ascii="Calibri" w:cs="Calibri" w:eastAsia="Calibri" w:hAnsi="Calibri"/>
          <w:sz w:val="18"/>
          <w:szCs w:val="18"/>
          <w:color w:val="auto"/>
        </w:rPr>
        <w:t>means the occurrence of any of the following:</w:t>
      </w:r>
    </w:p>
    <w:p>
      <w:pPr>
        <w:spacing w:after="0" w:line="42" w:lineRule="exact"/>
        <w:rPr>
          <w:sz w:val="20"/>
          <w:szCs w:val="20"/>
          <w:color w:val="auto"/>
        </w:rPr>
      </w:pPr>
    </w:p>
    <w:p>
      <w:pPr>
        <w:ind w:left="660" w:right="300" w:hanging="328"/>
        <w:spacing w:after="0" w:line="210" w:lineRule="auto"/>
        <w:tabs>
          <w:tab w:leader="none" w:pos="645"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a person or group (as defned in Sectons 13(d) and 14(d) of the Exchange Act) (other than the Company or a subsidiary of the Company or any employee beneft plan sponsored by the Company or a subsidiary) becomes the benefcial owner (as defned in Rules 13d-3 and 13d-5 under the Act) of 30% or more of the outstanding common stock of Xylem Inc. (the “Stock”);</w:t>
      </w:r>
    </w:p>
    <w:p>
      <w:pPr>
        <w:spacing w:after="0" w:line="44" w:lineRule="exact"/>
        <w:rPr>
          <w:rFonts w:ascii="Calibri" w:cs="Calibri" w:eastAsia="Calibri" w:hAnsi="Calibri"/>
          <w:sz w:val="18"/>
          <w:szCs w:val="18"/>
          <w:color w:val="auto"/>
        </w:rPr>
      </w:pPr>
    </w:p>
    <w:p>
      <w:pPr>
        <w:ind w:left="660" w:right="620" w:hanging="328"/>
        <w:spacing w:after="0" w:line="210" w:lineRule="auto"/>
        <w:tabs>
          <w:tab w:leader="none" w:pos="644"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any person or group (other than the Company or a subsidiary of the Company, or any employee beneft plan sponsored by the Company or a subsidiary) purchases shares to acquire Stock (or securites convertble into Stock) through a tender ofer or exchange ofer where afer consummaton of the ofer, the person in queston will be the benefcial owner, directly or indirectly, of 30% or more of Stock;</w:t>
      </w:r>
    </w:p>
    <w:p>
      <w:pPr>
        <w:spacing w:after="0" w:line="44" w:lineRule="exact"/>
        <w:rPr>
          <w:rFonts w:ascii="Calibri" w:cs="Calibri" w:eastAsia="Calibri" w:hAnsi="Calibri"/>
          <w:sz w:val="18"/>
          <w:szCs w:val="18"/>
          <w:color w:val="auto"/>
        </w:rPr>
      </w:pPr>
    </w:p>
    <w:p>
      <w:pPr>
        <w:ind w:left="660" w:right="120" w:hanging="328"/>
        <w:spacing w:after="0" w:line="206" w:lineRule="auto"/>
        <w:tabs>
          <w:tab w:leader="none" w:pos="644"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the consummaton of (A) any consolidaton, business combinaton or merger involving the Company, except where holders of Stock immediately prior to the consolidaton, business combinaton or merger (x) contnue to hold 50% or more of the combined votng power of the Company (or the corporaton resultng from the merger or consolidaton or the parent of such corporaton) afer the merger and (y) have the same proportonate ownership of Stock of the Company (or the corporaton resultng from the merger or consolidaton or the parent of such corporaton), relatve to other holders of Stock immediately afer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w:t>
      </w:r>
    </w:p>
    <w:p>
      <w:pPr>
        <w:sectPr>
          <w:pgSz w:w="11900" w:h="16838" w:orient="portrait"/>
          <w:cols w:equalWidth="0" w:num="1">
            <w:col w:w="11240"/>
          </w:cols>
          <w:pgMar w:left="320" w:top="99" w:right="339" w:bottom="1440" w:gutter="0" w:footer="0" w:header="0"/>
        </w:sectPr>
      </w:pPr>
    </w:p>
    <w:bookmarkStart w:id="62" w:name="page63"/>
    <w:bookmarkEnd w:id="62"/>
    <w:p>
      <w:pPr>
        <w:spacing w:after="0" w:line="41" w:lineRule="exact"/>
        <w:rPr>
          <w:sz w:val="20"/>
          <w:szCs w:val="20"/>
          <w:color w:val="auto"/>
        </w:rPr>
      </w:pPr>
    </w:p>
    <w:p>
      <w:pPr>
        <w:ind w:left="660" w:right="220"/>
        <w:spacing w:after="0" w:line="213" w:lineRule="auto"/>
        <w:rPr>
          <w:sz w:val="20"/>
          <w:szCs w:val="20"/>
          <w:color w:val="auto"/>
        </w:rPr>
      </w:pPr>
      <w:r>
        <w:rPr>
          <w:rFonts w:ascii="Calibri" w:cs="Calibri" w:eastAsia="Calibri" w:hAnsi="Calibri"/>
          <w:sz w:val="18"/>
          <w:szCs w:val="18"/>
          <w:color w:val="auto"/>
        </w:rPr>
        <w:t>transacton as immediately before, or (B) any sale, lease, exchange or other transfer (in one transacton or a series of related transactons) of all or substantally all the assets of the Company;</w:t>
      </w:r>
    </w:p>
    <w:p>
      <w:pPr>
        <w:spacing w:after="0" w:line="55" w:lineRule="exact"/>
        <w:rPr>
          <w:sz w:val="20"/>
          <w:szCs w:val="20"/>
          <w:color w:val="auto"/>
        </w:rPr>
      </w:pPr>
    </w:p>
    <w:p>
      <w:pPr>
        <w:ind w:left="660" w:right="20" w:hanging="328"/>
        <w:spacing w:after="0" w:line="206" w:lineRule="auto"/>
        <w:tabs>
          <w:tab w:leader="none" w:pos="643"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there is a change in a majority of the members of the Board of Directors of the Company within a 12-month period unless the electon or nominaton by the Company’s stockholders of each new director during such 12-month period was approved by the vote of 2/3rds of the directors then stll in ofce who (x) were directors at the beginning of the 12-month period or (y) whose nominaton or electon as directors was recommended or approved by a majority of the directors who were directors at the beginning of the 12-month period; or</w:t>
      </w:r>
    </w:p>
    <w:p>
      <w:pPr>
        <w:spacing w:after="0" w:line="42" w:lineRule="exact"/>
        <w:rPr>
          <w:rFonts w:ascii="Calibri" w:cs="Calibri" w:eastAsia="Calibri" w:hAnsi="Calibri"/>
          <w:sz w:val="18"/>
          <w:szCs w:val="18"/>
          <w:color w:val="auto"/>
        </w:rPr>
      </w:pPr>
    </w:p>
    <w:p>
      <w:pPr>
        <w:ind w:left="660" w:right="700" w:hanging="328"/>
        <w:spacing w:after="0" w:line="213" w:lineRule="auto"/>
        <w:tabs>
          <w:tab w:leader="none" w:pos="643" w:val="left"/>
        </w:tabs>
        <w:numPr>
          <w:ilvl w:val="0"/>
          <w:numId w:val="35"/>
        </w:numPr>
        <w:rPr>
          <w:rFonts w:ascii="Calibri" w:cs="Calibri" w:eastAsia="Calibri" w:hAnsi="Calibri"/>
          <w:sz w:val="18"/>
          <w:szCs w:val="18"/>
          <w:color w:val="auto"/>
        </w:rPr>
      </w:pPr>
      <w:r>
        <w:rPr>
          <w:rFonts w:ascii="Calibri" w:cs="Calibri" w:eastAsia="Calibri" w:hAnsi="Calibri"/>
          <w:sz w:val="18"/>
          <w:szCs w:val="18"/>
          <w:color w:val="auto"/>
        </w:rPr>
        <w:t>approval by the Company’s shareholders of a plan of complete liquidaton or dissoluton of the Company, other than a plan of liquidaton or dissoluton which results in the acquisiton of all or substantally all of the assets by an Afliate of the Company.</w:t>
      </w:r>
    </w:p>
    <w:p>
      <w:pPr>
        <w:spacing w:after="0" w:line="294" w:lineRule="exact"/>
        <w:rPr>
          <w:sz w:val="20"/>
          <w:szCs w:val="20"/>
          <w:color w:val="auto"/>
        </w:rPr>
      </w:pPr>
    </w:p>
    <w:p>
      <w:pPr>
        <w:spacing w:after="0"/>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Code</w:t>
      </w:r>
      <w:r>
        <w:rPr>
          <w:rFonts w:ascii="Calibri" w:cs="Calibri" w:eastAsia="Calibri" w:hAnsi="Calibri"/>
          <w:sz w:val="18"/>
          <w:szCs w:val="18"/>
          <w:color w:val="auto"/>
        </w:rPr>
        <w:t>” means the Internal Revenue Code of 1986, as amended.</w:t>
      </w:r>
    </w:p>
    <w:p>
      <w:pPr>
        <w:spacing w:after="0" w:line="285" w:lineRule="exact"/>
        <w:rPr>
          <w:sz w:val="20"/>
          <w:szCs w:val="20"/>
          <w:color w:val="auto"/>
        </w:rPr>
      </w:pPr>
    </w:p>
    <w:p>
      <w:pPr>
        <w:jc w:val="both"/>
        <w:ind w:right="80"/>
        <w:spacing w:after="0" w:line="203"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Good Reason</w:t>
      </w:r>
      <w:r>
        <w:rPr>
          <w:rFonts w:ascii="Calibri" w:cs="Calibri" w:eastAsia="Calibri" w:hAnsi="Calibri"/>
          <w:sz w:val="18"/>
          <w:szCs w:val="18"/>
          <w:color w:val="auto"/>
        </w:rPr>
        <w:t>” means, without the Partcipant’s express writen consent (i) a reducton in annual target total cash compensaton (base salary and target bonus), (ii) the assignment of any dutes inconsistent in any material adverse respect with the Executve’s positon, authority, dutes or responsibilites, (iii) any other acton by the Company or an Afliate which results in a material diminuton in such positon, authority, dutes or responsibilites; or (iv) the Company or an Afliate requiring the Executve to relocate to a work locaton 50 miles or more from the locaton where the Executve was principally working immediately prior to the Change in Control. The Executve must give notce within 90 days of any Good Reason event.</w:t>
      </w:r>
    </w:p>
    <w:p>
      <w:pPr>
        <w:spacing w:after="0" w:line="299" w:lineRule="exact"/>
        <w:rPr>
          <w:sz w:val="20"/>
          <w:szCs w:val="20"/>
          <w:color w:val="auto"/>
        </w:rPr>
      </w:pPr>
    </w:p>
    <w:p>
      <w:pPr>
        <w:jc w:val="both"/>
        <w:ind w:right="80"/>
        <w:spacing w:after="0" w:line="213" w:lineRule="auto"/>
        <w:rPr>
          <w:sz w:val="20"/>
          <w:szCs w:val="20"/>
          <w:color w:val="auto"/>
        </w:rPr>
      </w:pPr>
      <w:r>
        <w:rPr>
          <w:rFonts w:ascii="Calibri" w:cs="Calibri" w:eastAsia="Calibri" w:hAnsi="Calibri"/>
          <w:sz w:val="18"/>
          <w:szCs w:val="18"/>
          <w:color w:val="auto"/>
        </w:rPr>
        <w:t>Good Reason excludes an isolated, insubstantal and inadvertent acton not taken in bad faith that is resolved by the Company or an Afliate within 30 days of receiving notce.</w:t>
      </w:r>
    </w:p>
    <w:p>
      <w:pPr>
        <w:spacing w:after="0" w:line="285" w:lineRule="exact"/>
        <w:rPr>
          <w:sz w:val="20"/>
          <w:szCs w:val="20"/>
          <w:color w:val="auto"/>
        </w:rPr>
      </w:pPr>
    </w:p>
    <w:p>
      <w:pPr>
        <w:ind w:firstLine="6"/>
        <w:spacing w:after="0" w:line="220" w:lineRule="auto"/>
        <w:rPr>
          <w:sz w:val="20"/>
          <w:szCs w:val="20"/>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Potental Change in Control</w:t>
      </w:r>
      <w:r>
        <w:rPr>
          <w:rFonts w:ascii="Calibri" w:cs="Calibri" w:eastAsia="Calibri" w:hAnsi="Calibri"/>
          <w:sz w:val="18"/>
          <w:szCs w:val="18"/>
          <w:color w:val="auto"/>
        </w:rPr>
        <w:t>” means any executon of an agreement, the commencement of a tender ofer or any other transacton or event that if consummated would result in a Change in Control.</w:t>
      </w:r>
    </w:p>
    <w:p>
      <w:pPr>
        <w:spacing w:after="0" w:line="362"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b w:val="1"/>
          <w:bCs w:val="1"/>
          <w:color w:val="auto"/>
        </w:rPr>
        <w:t>4.</w:t>
      </w:r>
      <w:r>
        <w:rPr>
          <w:sz w:val="20"/>
          <w:szCs w:val="20"/>
          <w:color w:val="auto"/>
        </w:rPr>
        <w:tab/>
      </w:r>
      <w:r>
        <w:rPr>
          <w:rFonts w:ascii="Calibri" w:cs="Calibri" w:eastAsia="Calibri" w:hAnsi="Calibri"/>
          <w:sz w:val="17"/>
          <w:szCs w:val="17"/>
          <w:b w:val="1"/>
          <w:bCs w:val="1"/>
          <w:color w:val="auto"/>
        </w:rPr>
        <w:t>Severance Benefts Upon Terminaton of Employment</w:t>
      </w:r>
    </w:p>
    <w:p>
      <w:pPr>
        <w:spacing w:after="0" w:line="204" w:lineRule="exact"/>
        <w:rPr>
          <w:sz w:val="20"/>
          <w:szCs w:val="20"/>
          <w:color w:val="auto"/>
        </w:rPr>
      </w:pPr>
    </w:p>
    <w:p>
      <w:pPr>
        <w:ind w:firstLine="6"/>
        <w:spacing w:after="0" w:line="220" w:lineRule="auto"/>
        <w:rPr>
          <w:sz w:val="20"/>
          <w:szCs w:val="20"/>
          <w:color w:val="auto"/>
        </w:rPr>
      </w:pPr>
      <w:r>
        <w:rPr>
          <w:rFonts w:ascii="Calibri" w:cs="Calibri" w:eastAsia="Calibri" w:hAnsi="Calibri"/>
          <w:sz w:val="18"/>
          <w:szCs w:val="18"/>
          <w:color w:val="auto"/>
        </w:rPr>
        <w:t>If an Executve’s employment with the Company is terminated due to a Qualifying Terminaton, he or she will receive the severance benefts set forth in Secton 5 hereof (“Severance Benefts”). “</w:t>
      </w:r>
      <w:r>
        <w:rPr>
          <w:rFonts w:ascii="Calibri" w:cs="Calibri" w:eastAsia="Calibri" w:hAnsi="Calibri"/>
          <w:sz w:val="18"/>
          <w:szCs w:val="18"/>
          <w:b w:val="1"/>
          <w:bCs w:val="1"/>
          <w:color w:val="auto"/>
        </w:rPr>
        <w:t>Qualifying Terminaton</w:t>
      </w:r>
      <w:r>
        <w:rPr>
          <w:rFonts w:ascii="Calibri" w:cs="Calibri" w:eastAsia="Calibri" w:hAnsi="Calibri"/>
          <w:sz w:val="18"/>
          <w:szCs w:val="18"/>
          <w:color w:val="auto"/>
        </w:rPr>
        <w:t>” means a terminaton of an Executve’s employment with the Company either;</w:t>
      </w:r>
    </w:p>
    <w:p>
      <w:pPr>
        <w:spacing w:after="0" w:line="43" w:lineRule="exact"/>
        <w:rPr>
          <w:sz w:val="20"/>
          <w:szCs w:val="20"/>
          <w:color w:val="auto"/>
        </w:rPr>
      </w:pPr>
    </w:p>
    <w:p>
      <w:pPr>
        <w:jc w:val="both"/>
        <w:ind w:left="660" w:hanging="328"/>
        <w:spacing w:after="0" w:line="223" w:lineRule="auto"/>
        <w:tabs>
          <w:tab w:leader="none" w:pos="645" w:val="left"/>
        </w:tabs>
        <w:numPr>
          <w:ilvl w:val="0"/>
          <w:numId w:val="36"/>
        </w:numPr>
        <w:rPr>
          <w:rFonts w:ascii="Calibri" w:cs="Calibri" w:eastAsia="Calibri" w:hAnsi="Calibri"/>
          <w:sz w:val="17"/>
          <w:szCs w:val="17"/>
          <w:color w:val="auto"/>
        </w:rPr>
      </w:pPr>
      <w:r>
        <w:rPr>
          <w:rFonts w:ascii="Calibri" w:cs="Calibri" w:eastAsia="Calibri" w:hAnsi="Calibri"/>
          <w:sz w:val="17"/>
          <w:szCs w:val="17"/>
          <w:color w:val="auto"/>
        </w:rPr>
        <w:t>by the Company without Cause (A) within the two (2) year period commencing on the date of the occurrence of a Change in Control or (B) prior to the occurrence of a Change in Control and either (1) following the public announcement of the transacton or event which ultmately results in such Change in Control or (2) at the request of a party to, or partcipant in, the transacton or event which ultmately results in a Change in Control; or</w:t>
      </w:r>
    </w:p>
    <w:p>
      <w:pPr>
        <w:spacing w:after="0" w:line="37" w:lineRule="exact"/>
        <w:rPr>
          <w:rFonts w:ascii="Calibri" w:cs="Calibri" w:eastAsia="Calibri" w:hAnsi="Calibri"/>
          <w:sz w:val="17"/>
          <w:szCs w:val="17"/>
          <w:color w:val="auto"/>
        </w:rPr>
      </w:pPr>
    </w:p>
    <w:p>
      <w:pPr>
        <w:ind w:left="640" w:hanging="308"/>
        <w:spacing w:after="0"/>
        <w:tabs>
          <w:tab w:leader="none" w:pos="64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by an Executve for Good Reason within the two (2) year period commencing with the date of the occurrence of a Change in Control.</w:t>
      </w:r>
    </w:p>
    <w:p>
      <w:pPr>
        <w:spacing w:after="0" w:line="361"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b w:val="1"/>
          <w:bCs w:val="1"/>
          <w:color w:val="auto"/>
        </w:rPr>
        <w:t>5.</w:t>
        <w:tab/>
        <w:t>Severance Benefts</w:t>
      </w:r>
    </w:p>
    <w:p>
      <w:pPr>
        <w:spacing w:after="0" w:line="217" w:lineRule="exact"/>
        <w:rPr>
          <w:sz w:val="20"/>
          <w:szCs w:val="20"/>
          <w:color w:val="auto"/>
        </w:rPr>
      </w:pPr>
    </w:p>
    <w:p>
      <w:pPr>
        <w:ind w:right="20" w:firstLine="6"/>
        <w:spacing w:after="0" w:line="213" w:lineRule="auto"/>
        <w:rPr>
          <w:sz w:val="20"/>
          <w:szCs w:val="20"/>
          <w:color w:val="auto"/>
        </w:rPr>
      </w:pPr>
      <w:r>
        <w:rPr>
          <w:rFonts w:ascii="Calibri" w:cs="Calibri" w:eastAsia="Calibri" w:hAnsi="Calibri"/>
          <w:sz w:val="18"/>
          <w:szCs w:val="18"/>
          <w:color w:val="auto"/>
        </w:rPr>
        <w:t>Severance Benefts for Executves (i) in Band A at the tme of a Qualifying Terminaton or at any tme during the two (2) year period immediately preceding the Change in Control or (ii) designated as a covered employee in Band A in accordance with Secton 2 hereof:</w:t>
      </w:r>
    </w:p>
    <w:p>
      <w:pPr>
        <w:spacing w:after="0" w:line="55" w:lineRule="exact"/>
        <w:rPr>
          <w:sz w:val="20"/>
          <w:szCs w:val="20"/>
          <w:color w:val="auto"/>
        </w:rPr>
      </w:pPr>
    </w:p>
    <w:p>
      <w:pPr>
        <w:jc w:val="both"/>
        <w:ind w:left="660" w:hanging="328"/>
        <w:spacing w:after="0" w:line="203" w:lineRule="auto"/>
        <w:tabs>
          <w:tab w:leader="none" w:pos="645"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Accrued Rights – The Executve’s base salary through the date of terminaton of employment, any annual bonus earned but unpaid as of the date of terminaton for any previously completed fscal year, reimbursement for any unreimbursed business expenses properly incurred by the Executve in accordance with Company policy prior to the date of the Executve’s terminaton of employment and such employee benefts, if any, as to which the Executve may be enttled under the employee beneft plans of the Company, including without limitaton, the payment of any accrued or unused vacaton under the Company’s vacaton policy.</w:t>
      </w:r>
    </w:p>
    <w:p>
      <w:pPr>
        <w:spacing w:after="0" w:line="37" w:lineRule="exact"/>
        <w:rPr>
          <w:rFonts w:ascii="Calibri" w:cs="Calibri" w:eastAsia="Calibri" w:hAnsi="Calibri"/>
          <w:sz w:val="18"/>
          <w:szCs w:val="18"/>
          <w:color w:val="auto"/>
        </w:rPr>
      </w:pPr>
    </w:p>
    <w:p>
      <w:pPr>
        <w:ind w:left="640" w:hanging="308"/>
        <w:spacing w:after="0"/>
        <w:tabs>
          <w:tab w:leader="none" w:pos="64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Severance Pay – The sum of:</w:t>
      </w:r>
    </w:p>
    <w:p>
      <w:pPr>
        <w:spacing w:after="0" w:line="41" w:lineRule="exact"/>
        <w:rPr>
          <w:rFonts w:ascii="Calibri" w:cs="Calibri" w:eastAsia="Calibri" w:hAnsi="Calibri"/>
          <w:sz w:val="18"/>
          <w:szCs w:val="18"/>
          <w:color w:val="auto"/>
        </w:rPr>
      </w:pPr>
    </w:p>
    <w:p>
      <w:pPr>
        <w:ind w:left="980" w:hanging="324"/>
        <w:spacing w:after="0" w:line="220" w:lineRule="auto"/>
        <w:tabs>
          <w:tab w:leader="none" w:pos="965" w:val="left"/>
        </w:tabs>
        <w:numPr>
          <w:ilvl w:val="1"/>
          <w:numId w:val="37"/>
        </w:numPr>
        <w:rPr>
          <w:rFonts w:ascii="Calibri" w:cs="Calibri" w:eastAsia="Calibri" w:hAnsi="Calibri"/>
          <w:sz w:val="18"/>
          <w:szCs w:val="18"/>
          <w:color w:val="auto"/>
        </w:rPr>
      </w:pPr>
      <w:r>
        <w:rPr>
          <w:rFonts w:ascii="Calibri" w:cs="Calibri" w:eastAsia="Calibri" w:hAnsi="Calibri"/>
          <w:sz w:val="18"/>
          <w:szCs w:val="18"/>
          <w:color w:val="auto"/>
        </w:rPr>
        <w:t>three (3) tmes (for hire or promoton date prior to May 1, 2012) or two (2) tmes (for hire or promoton date on or afer May 1, 2012) the current annual base salary rate paid or in efect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w:t>
      </w:r>
    </w:p>
    <w:p>
      <w:pPr>
        <w:sectPr>
          <w:pgSz w:w="11900" w:h="16838" w:orient="portrait"/>
          <w:cols w:equalWidth="0" w:num="1">
            <w:col w:w="11240"/>
          </w:cols>
          <w:pgMar w:left="320" w:top="1440" w:right="339" w:bottom="1440" w:gutter="0" w:footer="0" w:header="0"/>
        </w:sectPr>
      </w:pPr>
    </w:p>
    <w:bookmarkStart w:id="63" w:name="page64"/>
    <w:bookmarkEnd w:id="63"/>
    <w:p>
      <w:pPr>
        <w:spacing w:after="0" w:line="36" w:lineRule="exact"/>
        <w:rPr>
          <w:sz w:val="20"/>
          <w:szCs w:val="20"/>
          <w:color w:val="auto"/>
        </w:rPr>
      </w:pPr>
    </w:p>
    <w:p>
      <w:pPr>
        <w:ind w:left="980"/>
        <w:spacing w:after="0"/>
        <w:rPr>
          <w:sz w:val="20"/>
          <w:szCs w:val="20"/>
          <w:color w:val="auto"/>
        </w:rPr>
      </w:pPr>
      <w:r>
        <w:rPr>
          <w:rFonts w:ascii="Calibri" w:cs="Calibri" w:eastAsia="Calibri" w:hAnsi="Calibri"/>
          <w:sz w:val="18"/>
          <w:szCs w:val="18"/>
          <w:color w:val="auto"/>
        </w:rPr>
        <w:t>(whether or not deferred) with respect to the Executve at the tme of the Executve’s terminaton of employment, and</w:t>
      </w:r>
    </w:p>
    <w:p>
      <w:pPr>
        <w:spacing w:after="0" w:line="42" w:lineRule="exact"/>
        <w:rPr>
          <w:sz w:val="20"/>
          <w:szCs w:val="20"/>
          <w:color w:val="auto"/>
        </w:rPr>
      </w:pPr>
    </w:p>
    <w:p>
      <w:pPr>
        <w:jc w:val="both"/>
        <w:ind w:left="980" w:hanging="324"/>
        <w:spacing w:after="0" w:line="210" w:lineRule="auto"/>
        <w:tabs>
          <w:tab w:leader="none" w:pos="964" w:val="left"/>
        </w:tabs>
        <w:numPr>
          <w:ilvl w:val="2"/>
          <w:numId w:val="38"/>
        </w:numPr>
        <w:rPr>
          <w:rFonts w:ascii="Calibri" w:cs="Calibri" w:eastAsia="Calibri" w:hAnsi="Calibri"/>
          <w:sz w:val="18"/>
          <w:szCs w:val="18"/>
          <w:color w:val="auto"/>
        </w:rPr>
      </w:pPr>
      <w:r>
        <w:rPr>
          <w:rFonts w:ascii="Calibri" w:cs="Calibri" w:eastAsia="Calibri" w:hAnsi="Calibri"/>
          <w:sz w:val="18"/>
          <w:szCs w:val="18"/>
          <w:color w:val="auto"/>
        </w:rPr>
        <w:t>three (3) tmes (for hire or promoton date prior to May 1, 2012) or two (2) tmes (for hire or promoton date on or afer May 1, 2012) the most recent annual bonus paid to or earned (target annual bonus for new hire without a full performance year) by the Executve (whether or not deferred) in respect of the Company’s most recent completed fscal year prior to the date of the Executve’s terminaton of employment.</w:t>
      </w:r>
    </w:p>
    <w:p>
      <w:pPr>
        <w:spacing w:after="0" w:line="39" w:lineRule="exact"/>
        <w:rPr>
          <w:rFonts w:ascii="Calibri" w:cs="Calibri" w:eastAsia="Calibri" w:hAnsi="Calibri"/>
          <w:sz w:val="18"/>
          <w:szCs w:val="18"/>
          <w:color w:val="auto"/>
        </w:rPr>
      </w:pPr>
    </w:p>
    <w:p>
      <w:pPr>
        <w:ind w:left="640" w:hanging="308"/>
        <w:spacing w:after="0"/>
        <w:tabs>
          <w:tab w:leader="none" w:pos="640" w:val="left"/>
        </w:tabs>
        <w:numPr>
          <w:ilvl w:val="0"/>
          <w:numId w:val="39"/>
        </w:numPr>
        <w:rPr>
          <w:rFonts w:ascii="Calibri" w:cs="Calibri" w:eastAsia="Calibri" w:hAnsi="Calibri"/>
          <w:sz w:val="18"/>
          <w:szCs w:val="18"/>
          <w:color w:val="auto"/>
        </w:rPr>
      </w:pPr>
      <w:r>
        <w:rPr>
          <w:rFonts w:ascii="Calibri" w:cs="Calibri" w:eastAsia="Calibri" w:hAnsi="Calibri"/>
          <w:sz w:val="18"/>
          <w:szCs w:val="18"/>
          <w:color w:val="auto"/>
        </w:rPr>
        <w:t>Benefts</w:t>
      </w:r>
    </w:p>
    <w:p>
      <w:pPr>
        <w:spacing w:after="0" w:line="55" w:lineRule="exact"/>
        <w:rPr>
          <w:rFonts w:ascii="Calibri" w:cs="Calibri" w:eastAsia="Calibri" w:hAnsi="Calibri"/>
          <w:sz w:val="18"/>
          <w:szCs w:val="18"/>
          <w:color w:val="auto"/>
        </w:rPr>
      </w:pPr>
    </w:p>
    <w:p>
      <w:pPr>
        <w:jc w:val="both"/>
        <w:ind w:left="980" w:hanging="324"/>
        <w:spacing w:after="0" w:line="213" w:lineRule="auto"/>
        <w:tabs>
          <w:tab w:leader="none" w:pos="965" w:val="left"/>
        </w:tabs>
        <w:numPr>
          <w:ilvl w:val="2"/>
          <w:numId w:val="39"/>
        </w:numPr>
        <w:rPr>
          <w:rFonts w:ascii="Calibri" w:cs="Calibri" w:eastAsia="Calibri" w:hAnsi="Calibri"/>
          <w:sz w:val="17"/>
          <w:szCs w:val="17"/>
          <w:color w:val="auto"/>
        </w:rPr>
      </w:pPr>
      <w:r>
        <w:rPr>
          <w:rFonts w:ascii="Calibri" w:cs="Calibri" w:eastAsia="Calibri" w:hAnsi="Calibri"/>
          <w:sz w:val="17"/>
          <w:szCs w:val="17"/>
          <w:color w:val="auto"/>
        </w:rPr>
        <w:t>Contnued health and life insurance benefts for a three (3) year period (for hire or promoton date prior to May 1, 2012) or two (2) year period (for hire or promoton date on or afer May 1, 2012) following the Executve’s terminaton of employment at the same cost to the Executve, and at the same coverage levels, as provided to the Executve (and the Executve’s eligible dependents) immediately prior to his or her terminaton of employment. In the event the Company changes health and/or life insurance programs, coverage levels, beneft providers and/or modifes beneft contributons, the Executve would be treated consistent with other Band A executves. In the event contnuaton of health and/or life insurance is not permissible, the Company may provide alternatve benefts or payments as described under the subheading “General” below.</w:t>
      </w:r>
    </w:p>
    <w:p>
      <w:pPr>
        <w:spacing w:after="0" w:line="55" w:lineRule="exact"/>
        <w:rPr>
          <w:rFonts w:ascii="Calibri" w:cs="Calibri" w:eastAsia="Calibri" w:hAnsi="Calibri"/>
          <w:sz w:val="17"/>
          <w:szCs w:val="17"/>
          <w:color w:val="auto"/>
        </w:rPr>
      </w:pPr>
    </w:p>
    <w:p>
      <w:pPr>
        <w:jc w:val="both"/>
        <w:ind w:left="980" w:hanging="324"/>
        <w:spacing w:after="0" w:line="201" w:lineRule="auto"/>
        <w:tabs>
          <w:tab w:leader="none" w:pos="964" w:val="left"/>
        </w:tabs>
        <w:numPr>
          <w:ilvl w:val="2"/>
          <w:numId w:val="39"/>
        </w:numPr>
        <w:rPr>
          <w:rFonts w:ascii="Calibri" w:cs="Calibri" w:eastAsia="Calibri" w:hAnsi="Calibri"/>
          <w:sz w:val="18"/>
          <w:szCs w:val="18"/>
          <w:color w:val="auto"/>
        </w:rPr>
      </w:pPr>
      <w:r>
        <w:rPr>
          <w:rFonts w:ascii="Calibri" w:cs="Calibri" w:eastAsia="Calibri" w:hAnsi="Calibri"/>
          <w:sz w:val="18"/>
          <w:szCs w:val="18"/>
          <w:color w:val="auto"/>
        </w:rPr>
        <w:t>Payment of a lump sum amount (“</w:t>
      </w:r>
      <w:r>
        <w:rPr>
          <w:rFonts w:ascii="Calibri" w:cs="Calibri" w:eastAsia="Calibri" w:hAnsi="Calibri"/>
          <w:sz w:val="18"/>
          <w:szCs w:val="18"/>
          <w:b w:val="1"/>
          <w:bCs w:val="1"/>
          <w:color w:val="auto"/>
        </w:rPr>
        <w:t>Savings Plan Lump Sum Amount</w:t>
      </w:r>
      <w:r>
        <w:rPr>
          <w:rFonts w:ascii="Calibri" w:cs="Calibri" w:eastAsia="Calibri" w:hAnsi="Calibri"/>
          <w:sz w:val="18"/>
          <w:szCs w:val="18"/>
          <w:color w:val="auto"/>
        </w:rPr>
        <w:t>”) equal to three (3) tmes (for hire or promoton date prior to May 1, 2012) or two (2) tmes (for hire or promoton date on or afer May 1, 2012) the following amount: the product of (x) the current annual base salary rate and annual bonus as determined above as “Severance Pay” and (y) the current aggregate percentage used to determine company contributons which the Executve would have been eligible for under the Xylem Retrement Savings Plan and Xylem Supplemental Retrement Savings Plan (or corresponding savings plan arrangements outside of the United States or any successor plans thereto) in respect of the plan year during which the Executve’s terminaton of employment occurs.</w:t>
      </w:r>
    </w:p>
    <w:p>
      <w:pPr>
        <w:spacing w:after="0" w:line="52" w:lineRule="exact"/>
        <w:rPr>
          <w:rFonts w:ascii="Calibri" w:cs="Calibri" w:eastAsia="Calibri" w:hAnsi="Calibri"/>
          <w:sz w:val="18"/>
          <w:szCs w:val="18"/>
          <w:color w:val="auto"/>
        </w:rPr>
      </w:pPr>
    </w:p>
    <w:p>
      <w:pPr>
        <w:ind w:left="800" w:hanging="306"/>
        <w:spacing w:after="0"/>
        <w:tabs>
          <w:tab w:leader="none" w:pos="800" w:val="left"/>
        </w:tabs>
        <w:numPr>
          <w:ilvl w:val="1"/>
          <w:numId w:val="39"/>
        </w:numPr>
        <w:rPr>
          <w:rFonts w:ascii="Calibri" w:cs="Calibri" w:eastAsia="Calibri" w:hAnsi="Calibri"/>
          <w:sz w:val="18"/>
          <w:szCs w:val="18"/>
          <w:color w:val="auto"/>
        </w:rPr>
      </w:pPr>
      <w:r>
        <w:rPr>
          <w:rFonts w:ascii="Calibri" w:cs="Calibri" w:eastAsia="Calibri" w:hAnsi="Calibri"/>
          <w:sz w:val="18"/>
          <w:szCs w:val="18"/>
          <w:color w:val="auto"/>
        </w:rPr>
        <w:t>Outplacement – Outplacement services for one year.</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General</w:t>
      </w:r>
    </w:p>
    <w:p>
      <w:pPr>
        <w:spacing w:after="0" w:line="204" w:lineRule="exact"/>
        <w:rPr>
          <w:sz w:val="20"/>
          <w:szCs w:val="20"/>
          <w:color w:val="auto"/>
        </w:rPr>
      </w:pPr>
    </w:p>
    <w:p>
      <w:pPr>
        <w:jc w:val="both"/>
        <w:ind w:firstLine="6"/>
        <w:spacing w:after="0" w:line="206" w:lineRule="auto"/>
        <w:rPr>
          <w:sz w:val="20"/>
          <w:szCs w:val="20"/>
          <w:color w:val="auto"/>
        </w:rPr>
      </w:pPr>
      <w:r>
        <w:rPr>
          <w:rFonts w:ascii="Calibri" w:cs="Calibri" w:eastAsia="Calibri" w:hAnsi="Calibri"/>
          <w:sz w:val="18"/>
          <w:szCs w:val="18"/>
          <w:color w:val="auto"/>
        </w:rPr>
        <w:t>If, for any reason at any tme the Company is unable to treat the Executve as being eligible for ongoing partcipaton in any Company employee beneft plans in existence immediately prior to the terminaton of employment of the Executve, and if, as a result, the Executve does not receive a beneft or receives a reduced beneft, the Company will provide such benefts by making available equivalent benefts from other sources or making cash payments providing equivalent value (as reasonably determined in good faith by the Company) in a manner consistent with Secton 15 below.</w:t>
      </w:r>
    </w:p>
    <w:p>
      <w:pPr>
        <w:spacing w:after="0" w:line="299" w:lineRule="exact"/>
        <w:rPr>
          <w:sz w:val="20"/>
          <w:szCs w:val="20"/>
          <w:color w:val="auto"/>
        </w:rPr>
      </w:pPr>
    </w:p>
    <w:p>
      <w:pPr>
        <w:jc w:val="both"/>
        <w:ind w:firstLine="6"/>
        <w:spacing w:after="0" w:line="213" w:lineRule="auto"/>
        <w:rPr>
          <w:sz w:val="20"/>
          <w:szCs w:val="20"/>
          <w:color w:val="auto"/>
        </w:rPr>
      </w:pPr>
      <w:r>
        <w:rPr>
          <w:rFonts w:ascii="Calibri" w:cs="Calibri" w:eastAsia="Calibri" w:hAnsi="Calibri"/>
          <w:sz w:val="18"/>
          <w:szCs w:val="18"/>
          <w:color w:val="auto"/>
        </w:rPr>
        <w:t>Notwithstanding any other provision of the Plan to the contrary, all prior service and partcipaton by an Executve with the Predecessor Corporaton will be credited in full towards an Executve’s service and partcipaton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w:t>
      </w:r>
    </w:p>
    <w:p>
      <w:pPr>
        <w:sectPr>
          <w:pgSz w:w="11900" w:h="16838" w:orient="portrait"/>
          <w:cols w:equalWidth="0" w:num="1">
            <w:col w:w="11240"/>
          </w:cols>
          <w:pgMar w:left="320" w:top="1440" w:right="339" w:bottom="1440" w:gutter="0" w:footer="0" w:header="0"/>
        </w:sectPr>
      </w:pPr>
    </w:p>
    <w:bookmarkStart w:id="64" w:name="page65"/>
    <w:bookmarkEnd w:id="64"/>
    <w:p>
      <w:pPr>
        <w:spacing w:after="0" w:line="36"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b w:val="1"/>
          <w:bCs w:val="1"/>
          <w:color w:val="auto"/>
        </w:rPr>
        <w:t>6.</w:t>
      </w:r>
      <w:r>
        <w:rPr>
          <w:sz w:val="20"/>
          <w:szCs w:val="20"/>
          <w:color w:val="auto"/>
        </w:rPr>
        <w:tab/>
      </w:r>
      <w:r>
        <w:rPr>
          <w:rFonts w:ascii="Calibri" w:cs="Calibri" w:eastAsia="Calibri" w:hAnsi="Calibri"/>
          <w:sz w:val="17"/>
          <w:szCs w:val="17"/>
          <w:b w:val="1"/>
          <w:bCs w:val="1"/>
          <w:color w:val="auto"/>
        </w:rPr>
        <w:t>Form of Payment of Severance Pay and Lump Sum Payments</w:t>
      </w:r>
    </w:p>
    <w:p>
      <w:pPr>
        <w:spacing w:after="0" w:line="42" w:lineRule="exact"/>
        <w:rPr>
          <w:sz w:val="20"/>
          <w:szCs w:val="20"/>
          <w:color w:val="auto"/>
        </w:rPr>
      </w:pPr>
    </w:p>
    <w:p>
      <w:pPr>
        <w:jc w:val="both"/>
        <w:ind w:firstLine="6"/>
        <w:spacing w:after="0" w:line="220" w:lineRule="auto"/>
        <w:rPr>
          <w:sz w:val="20"/>
          <w:szCs w:val="20"/>
          <w:color w:val="auto"/>
        </w:rPr>
      </w:pPr>
      <w:r>
        <w:rPr>
          <w:rFonts w:ascii="Calibri" w:cs="Calibri" w:eastAsia="Calibri" w:hAnsi="Calibri"/>
          <w:sz w:val="18"/>
          <w:szCs w:val="18"/>
          <w:color w:val="auto"/>
        </w:rPr>
        <w:t>Severance Pay and the Savings Plan Lump Sum Amount will be paid in cash within thirty (30) calendar days afer the date the employment of the Executve terminates. The tming of payments will be subject to Secton 15, in all respects.</w:t>
      </w:r>
    </w:p>
    <w:p>
      <w:pPr>
        <w:spacing w:after="0" w:line="362"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b w:val="1"/>
          <w:bCs w:val="1"/>
          <w:color w:val="auto"/>
        </w:rPr>
        <w:t>7.</w:t>
      </w:r>
      <w:r>
        <w:rPr>
          <w:sz w:val="20"/>
          <w:szCs w:val="20"/>
          <w:color w:val="auto"/>
        </w:rPr>
        <w:tab/>
      </w:r>
      <w:r>
        <w:rPr>
          <w:rFonts w:ascii="Calibri" w:cs="Calibri" w:eastAsia="Calibri" w:hAnsi="Calibri"/>
          <w:sz w:val="17"/>
          <w:szCs w:val="17"/>
          <w:b w:val="1"/>
          <w:bCs w:val="1"/>
          <w:color w:val="auto"/>
        </w:rPr>
        <w:t>Terminaton of Employment — Other</w:t>
      </w:r>
    </w:p>
    <w:p>
      <w:pPr>
        <w:spacing w:after="0" w:line="42" w:lineRule="exact"/>
        <w:rPr>
          <w:sz w:val="20"/>
          <w:szCs w:val="20"/>
          <w:color w:val="auto"/>
        </w:rPr>
      </w:pPr>
    </w:p>
    <w:p>
      <w:pPr>
        <w:jc w:val="both"/>
        <w:ind w:firstLine="6"/>
        <w:spacing w:after="0" w:line="206" w:lineRule="auto"/>
        <w:rPr>
          <w:sz w:val="20"/>
          <w:szCs w:val="20"/>
          <w:color w:val="auto"/>
        </w:rPr>
      </w:pPr>
      <w:r>
        <w:rPr>
          <w:rFonts w:ascii="Calibri" w:cs="Calibri" w:eastAsia="Calibri" w:hAnsi="Calibri"/>
          <w:sz w:val="18"/>
          <w:szCs w:val="18"/>
          <w:color w:val="auto"/>
        </w:rPr>
        <w:t>The Severance Benefts will only be payable upon an Executve’s terminaton of employment due to a Qualifying Terminaton; provided, that if, following the occurrence of a Change in Control, an Executve is terminated due to the Executve’s death or disability (as defned in the long-term disability plan that the Executve is enttled to partcipate (whether or not the Executve voluntarily partcipates in such plan)) and, at the tme of such terminaton, the Executve had grounds to resign with Good Reason, such terminaton of employment will be deemed to be a Qualifying Terminaton.</w:t>
      </w:r>
    </w:p>
    <w:p>
      <w:pPr>
        <w:spacing w:after="0" w:line="375"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b w:val="1"/>
          <w:bCs w:val="1"/>
          <w:color w:val="auto"/>
        </w:rPr>
        <w:t>8.</w:t>
      </w:r>
      <w:r>
        <w:rPr>
          <w:sz w:val="20"/>
          <w:szCs w:val="20"/>
          <w:color w:val="auto"/>
        </w:rPr>
        <w:tab/>
      </w:r>
      <w:r>
        <w:rPr>
          <w:rFonts w:ascii="Calibri" w:cs="Calibri" w:eastAsia="Calibri" w:hAnsi="Calibri"/>
          <w:sz w:val="17"/>
          <w:szCs w:val="17"/>
          <w:b w:val="1"/>
          <w:bCs w:val="1"/>
          <w:color w:val="auto"/>
        </w:rPr>
        <w:t>Administraton of Plan</w:t>
      </w:r>
    </w:p>
    <w:p>
      <w:pPr>
        <w:spacing w:after="0" w:line="42" w:lineRule="exact"/>
        <w:rPr>
          <w:sz w:val="20"/>
          <w:szCs w:val="20"/>
          <w:color w:val="auto"/>
        </w:rPr>
      </w:pPr>
    </w:p>
    <w:p>
      <w:pPr>
        <w:jc w:val="both"/>
        <w:ind w:firstLine="6"/>
        <w:spacing w:after="0" w:line="206" w:lineRule="auto"/>
        <w:rPr>
          <w:sz w:val="20"/>
          <w:szCs w:val="20"/>
          <w:color w:val="auto"/>
        </w:rPr>
      </w:pPr>
      <w:r>
        <w:rPr>
          <w:rFonts w:ascii="Calibri" w:cs="Calibri" w:eastAsia="Calibri" w:hAnsi="Calibri"/>
          <w:sz w:val="18"/>
          <w:szCs w:val="18"/>
          <w:color w:val="auto"/>
        </w:rPr>
        <w:t>This Plan will be administered by the Company’s Human Resources Department, who will have the exclusive right to interpret this Plan, adopt any rules and regulatons for carrying out this Plan as may be appropriate and decide any and all maters arising under this Plan, including but not limited to the right to determine appeals. Subject to applicable Federal and state law, all interpretatons and decisions by the Company will be fnal, conclusive and binding on all partes afected thereby.</w:t>
      </w:r>
    </w:p>
    <w:p>
      <w:pPr>
        <w:spacing w:after="0" w:line="42" w:lineRule="exact"/>
        <w:rPr>
          <w:sz w:val="20"/>
          <w:szCs w:val="20"/>
          <w:color w:val="auto"/>
        </w:rPr>
      </w:pPr>
    </w:p>
    <w:p>
      <w:pPr>
        <w:jc w:val="both"/>
        <w:ind w:firstLine="6"/>
        <w:spacing w:after="0" w:line="202" w:lineRule="auto"/>
        <w:rPr>
          <w:sz w:val="20"/>
          <w:szCs w:val="20"/>
          <w:color w:val="auto"/>
        </w:rPr>
      </w:pPr>
      <w:r>
        <w:rPr>
          <w:rFonts w:ascii="Calibri" w:cs="Calibri" w:eastAsia="Calibri" w:hAnsi="Calibri"/>
          <w:sz w:val="18"/>
          <w:szCs w:val="18"/>
          <w:color w:val="auto"/>
        </w:rPr>
        <w:t>Notwithstanding the preceding paragraph, following a Change in Control, any controversy or claim arising out of or relatng to this Plan, or the breach thereof, will be setled by arbitraton administered by the American Arbitraton Associaton under its Commercial Arbitraton Rules and the entre cost thereof will be borne by the Company. The locaton of the arbitraton proceedings will be reasonably acceptable to the Executve. Judgment on the award rendered by the arbitrator(s) may be entered in any court having jurisdicton thereof. The Company will pay all legal fees, costs of litgaton, prejudgment interest, and other expenses which are incurred in good faith by the Executve as a result of the Company’s refusal to provide any of the Severance Benefts to which the Executve becomes enttled under this Plan, or as a result of the Company’s (or any third party’s) contestng the validity, enforceability, or interpretaton of this Plan, or as a result of any confict between the Executve and the Company pertaining to this Plan. The Company will pay such fees and expenses from the general assets of the Company.</w:t>
      </w:r>
    </w:p>
    <w:p>
      <w:pPr>
        <w:spacing w:after="0" w:line="365"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b w:val="1"/>
          <w:bCs w:val="1"/>
          <w:color w:val="auto"/>
        </w:rPr>
        <w:t>9.</w:t>
      </w:r>
      <w:r>
        <w:rPr>
          <w:sz w:val="20"/>
          <w:szCs w:val="20"/>
          <w:color w:val="auto"/>
        </w:rPr>
        <w:tab/>
      </w:r>
      <w:r>
        <w:rPr>
          <w:rFonts w:ascii="Calibri" w:cs="Calibri" w:eastAsia="Calibri" w:hAnsi="Calibri"/>
          <w:sz w:val="17"/>
          <w:szCs w:val="17"/>
          <w:b w:val="1"/>
          <w:bCs w:val="1"/>
          <w:color w:val="auto"/>
        </w:rPr>
        <w:t>Terminaton or Amendment</w:t>
      </w:r>
    </w:p>
    <w:p>
      <w:pPr>
        <w:spacing w:after="0" w:line="42" w:lineRule="exact"/>
        <w:rPr>
          <w:sz w:val="20"/>
          <w:szCs w:val="20"/>
          <w:color w:val="auto"/>
        </w:rPr>
      </w:pPr>
    </w:p>
    <w:p>
      <w:pPr>
        <w:jc w:val="both"/>
        <w:ind w:firstLine="6"/>
        <w:spacing w:after="0" w:line="210" w:lineRule="auto"/>
        <w:rPr>
          <w:sz w:val="20"/>
          <w:szCs w:val="20"/>
          <w:color w:val="auto"/>
        </w:rPr>
      </w:pPr>
      <w:r>
        <w:rPr>
          <w:rFonts w:ascii="Calibri" w:cs="Calibri" w:eastAsia="Calibri" w:hAnsi="Calibri"/>
          <w:sz w:val="18"/>
          <w:szCs w:val="18"/>
          <w:color w:val="auto"/>
        </w:rPr>
        <w:t>Xylem may terminate or amend this Plan (“</w:t>
      </w:r>
      <w:r>
        <w:rPr>
          <w:rFonts w:ascii="Calibri" w:cs="Calibri" w:eastAsia="Calibri" w:hAnsi="Calibri"/>
          <w:sz w:val="18"/>
          <w:szCs w:val="18"/>
          <w:b w:val="1"/>
          <w:bCs w:val="1"/>
          <w:color w:val="auto"/>
        </w:rPr>
        <w:t>Plan Change</w:t>
      </w:r>
      <w:r>
        <w:rPr>
          <w:rFonts w:ascii="Calibri" w:cs="Calibri" w:eastAsia="Calibri" w:hAnsi="Calibri"/>
          <w:sz w:val="18"/>
          <w:szCs w:val="18"/>
          <w:color w:val="auto"/>
        </w:rPr>
        <w:t>”) at any tme except that following the occurrence of (i) Change in Control or (ii) a Potental Change in Control, no Plan Change that would adversely afect any Executve may be made without the prior writen consent of such Executve afected thereby; provided, however, that (ii) above will cease to apply if such Potental Change in Control does not result in the occurrence of a Change in Control.</w:t>
      </w:r>
    </w:p>
    <w:p>
      <w:pPr>
        <w:spacing w:after="0" w:line="36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10. Ofset</w:t>
      </w:r>
    </w:p>
    <w:p>
      <w:pPr>
        <w:spacing w:after="0" w:line="55" w:lineRule="exact"/>
        <w:rPr>
          <w:sz w:val="20"/>
          <w:szCs w:val="20"/>
          <w:color w:val="auto"/>
        </w:rPr>
      </w:pPr>
    </w:p>
    <w:p>
      <w:pPr>
        <w:jc w:val="both"/>
        <w:ind w:firstLine="6"/>
        <w:spacing w:after="0" w:line="213" w:lineRule="auto"/>
        <w:rPr>
          <w:sz w:val="20"/>
          <w:szCs w:val="20"/>
          <w:color w:val="auto"/>
        </w:rPr>
      </w:pPr>
      <w:r>
        <w:rPr>
          <w:rFonts w:ascii="Calibri" w:cs="Calibri" w:eastAsia="Calibri" w:hAnsi="Calibri"/>
          <w:sz w:val="17"/>
          <w:szCs w:val="17"/>
          <w:color w:val="auto"/>
        </w:rPr>
        <w:t>Any Severance Benefts provided to an Executve under this Plan will be ofset in a manner consistent with Secton 15 by reducing (x) any Severance Pay hereunder by any severance pay, salary contnuaton pay, terminaton pay or similar pay or allowance and (y) any other Severance Benefts hereunder by corresponding employee benefts, or outplacement services, which the Executve receives or is enttled to receive, (i) under the Xylem Senior Executve Severance Pay Plan; (ii) pursuant to any other Company policy, practce, program or arrangement; (iii) pursuant to any Company employment agreement or other agreement with the Company; or (iv) by virtue of any law, custom or practce excluding, however, any unemployment compensaton in the United States, unless the Executve voluntarily expressly waives (which the Executve will have the exclusive right to do) in writng any such respectve enttlement.</w:t>
      </w:r>
    </w:p>
    <w:p>
      <w:pPr>
        <w:spacing w:after="0" w:line="5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11. Excise Tax</w:t>
      </w:r>
    </w:p>
    <w:p>
      <w:pPr>
        <w:spacing w:after="0" w:line="42" w:lineRule="exact"/>
        <w:rPr>
          <w:sz w:val="20"/>
          <w:szCs w:val="20"/>
          <w:color w:val="auto"/>
        </w:rPr>
      </w:pPr>
    </w:p>
    <w:p>
      <w:pPr>
        <w:jc w:val="both"/>
        <w:ind w:firstLine="6"/>
        <w:spacing w:after="0" w:line="203" w:lineRule="auto"/>
        <w:rPr>
          <w:sz w:val="20"/>
          <w:szCs w:val="20"/>
          <w:color w:val="auto"/>
        </w:rPr>
      </w:pPr>
      <w:r>
        <w:rPr>
          <w:rFonts w:ascii="Calibri" w:cs="Calibri" w:eastAsia="Calibri" w:hAnsi="Calibri"/>
          <w:sz w:val="18"/>
          <w:szCs w:val="18"/>
          <w:color w:val="auto"/>
        </w:rPr>
        <w:t>If it is determined that any Payment would consttute an “excess parachute payment” within the meaning of Secton 280G of the Code, the aggregate of all Payments will be reduced so that the Present Value of the aggregate of all Payments does not exceed the Safe Harbor Amount; provided, however, that no such reducton will be efected if the Net Afer-tax Beneft to the Executve of receiving all of the Payments exceeds the Net Afer-tax Beneft to the Executve resultng from having such Payments so reduced. In the event a reducton is required pursuant hereto, the order of reducton will be frst all cash payments on a pro rata basis, then any equity compensaton on a pro rata basis, and lastly medical and dental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w:t>
      </w:r>
    </w:p>
    <w:p>
      <w:pPr>
        <w:sectPr>
          <w:pgSz w:w="11900" w:h="16838" w:orient="portrait"/>
          <w:cols w:equalWidth="0" w:num="1">
            <w:col w:w="11240"/>
          </w:cols>
          <w:pgMar w:left="320" w:top="1440" w:right="339" w:bottom="1440" w:gutter="0" w:footer="0" w:header="0"/>
        </w:sectPr>
      </w:pPr>
    </w:p>
    <w:bookmarkStart w:id="65" w:name="page66"/>
    <w:bookmarkEnd w:id="65"/>
    <w:p>
      <w:pPr>
        <w:ind w:left="20"/>
        <w:spacing w:after="0"/>
        <w:rPr>
          <w:sz w:val="20"/>
          <w:szCs w:val="20"/>
          <w:color w:val="auto"/>
        </w:rPr>
      </w:pPr>
      <w:r>
        <w:rPr>
          <w:rFonts w:ascii="Calibri" w:cs="Calibri" w:eastAsia="Calibri" w:hAnsi="Calibri"/>
          <w:sz w:val="18"/>
          <w:szCs w:val="18"/>
          <w:color w:val="auto"/>
        </w:rPr>
        <w:t>For purposes of this Secton 11, the following terms have the following meanings:</w:t>
      </w:r>
    </w:p>
    <w:p>
      <w:pPr>
        <w:spacing w:after="0" w:line="42" w:lineRule="exact"/>
        <w:rPr>
          <w:sz w:val="20"/>
          <w:szCs w:val="20"/>
          <w:color w:val="auto"/>
        </w:rPr>
      </w:pPr>
    </w:p>
    <w:p>
      <w:pPr>
        <w:jc w:val="both"/>
        <w:ind w:left="660" w:hanging="328"/>
        <w:spacing w:after="0" w:line="210" w:lineRule="auto"/>
        <w:tabs>
          <w:tab w:leader="none" w:pos="645"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Net Afer-tax Beneft</w:t>
      </w:r>
      <w:r>
        <w:rPr>
          <w:rFonts w:ascii="Calibri" w:cs="Calibri" w:eastAsia="Calibri" w:hAnsi="Calibri"/>
          <w:sz w:val="18"/>
          <w:szCs w:val="18"/>
          <w:color w:val="auto"/>
        </w:rPr>
        <w:t>” will mean the Present Value of a Payment net of all federal state and local income, employment and excise taxes imposed on Executve with respect thereto, determined by applying the highest marginal rate(s) applicable to an individual for the Executve’s taxable year that the Qualifying Terminaton occurs.</w:t>
      </w:r>
    </w:p>
    <w:p>
      <w:pPr>
        <w:spacing w:after="0" w:line="44" w:lineRule="exact"/>
        <w:rPr>
          <w:rFonts w:ascii="Calibri" w:cs="Calibri" w:eastAsia="Calibri" w:hAnsi="Calibri"/>
          <w:sz w:val="18"/>
          <w:szCs w:val="18"/>
          <w:color w:val="auto"/>
        </w:rPr>
      </w:pPr>
    </w:p>
    <w:p>
      <w:pPr>
        <w:jc w:val="both"/>
        <w:ind w:left="660" w:hanging="328"/>
        <w:spacing w:after="0" w:line="210" w:lineRule="auto"/>
        <w:tabs>
          <w:tab w:leader="none" w:pos="644"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Payment</w:t>
      </w:r>
      <w:r>
        <w:rPr>
          <w:rFonts w:ascii="Calibri" w:cs="Calibri" w:eastAsia="Calibri" w:hAnsi="Calibri"/>
          <w:sz w:val="18"/>
          <w:szCs w:val="18"/>
          <w:color w:val="auto"/>
        </w:rPr>
        <w:t>” means any payment or distributon or provision of benefts by the Company to or for the beneft of the Executve, whether paid or payable or distributed or distributable pursuant to the terms of this Plan or otherwise, but determined without regard to any reductons required by this Secton 11.</w:t>
      </w:r>
    </w:p>
    <w:p>
      <w:pPr>
        <w:spacing w:after="0" w:line="39" w:lineRule="exact"/>
        <w:rPr>
          <w:rFonts w:ascii="Calibri" w:cs="Calibri" w:eastAsia="Calibri" w:hAnsi="Calibri"/>
          <w:sz w:val="18"/>
          <w:szCs w:val="18"/>
          <w:color w:val="auto"/>
        </w:rPr>
      </w:pPr>
    </w:p>
    <w:p>
      <w:pPr>
        <w:ind w:left="640" w:hanging="308"/>
        <w:spacing w:after="0"/>
        <w:tabs>
          <w:tab w:leader="none" w:pos="64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Present Value</w:t>
      </w:r>
      <w:r>
        <w:rPr>
          <w:rFonts w:ascii="Calibri" w:cs="Calibri" w:eastAsia="Calibri" w:hAnsi="Calibri"/>
          <w:sz w:val="18"/>
          <w:szCs w:val="18"/>
          <w:color w:val="auto"/>
        </w:rPr>
        <w:t>” will mean such value determined in accordance with Secton 280G(d)(4) of the Code.</w:t>
      </w:r>
    </w:p>
    <w:p>
      <w:pPr>
        <w:spacing w:after="0" w:line="55" w:lineRule="exact"/>
        <w:rPr>
          <w:rFonts w:ascii="Calibri" w:cs="Calibri" w:eastAsia="Calibri" w:hAnsi="Calibri"/>
          <w:sz w:val="18"/>
          <w:szCs w:val="18"/>
          <w:color w:val="auto"/>
        </w:rPr>
      </w:pPr>
    </w:p>
    <w:p>
      <w:pPr>
        <w:ind w:left="660" w:hanging="328"/>
        <w:spacing w:after="0" w:line="213" w:lineRule="auto"/>
        <w:tabs>
          <w:tab w:leader="none" w:pos="643"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w:t>
      </w:r>
      <w:r>
        <w:rPr>
          <w:rFonts w:ascii="Calibri" w:cs="Calibri" w:eastAsia="Calibri" w:hAnsi="Calibri"/>
          <w:sz w:val="18"/>
          <w:szCs w:val="18"/>
          <w:b w:val="1"/>
          <w:bCs w:val="1"/>
          <w:color w:val="auto"/>
        </w:rPr>
        <w:t>Safe Harbor Amount</w:t>
      </w:r>
      <w:r>
        <w:rPr>
          <w:rFonts w:ascii="Calibri" w:cs="Calibri" w:eastAsia="Calibri" w:hAnsi="Calibri"/>
          <w:sz w:val="18"/>
          <w:szCs w:val="18"/>
          <w:color w:val="auto"/>
        </w:rPr>
        <w:t>” will be an amount expressed in Present Value which maximizes the aggregate Present Value of Payments without causing any Payment to be subject to excise tax under Secton 4999 of the Code or the deducton limitaton of Secton 280G of the Code.</w:t>
      </w:r>
    </w:p>
    <w:p>
      <w:pPr>
        <w:spacing w:after="0" w:line="42" w:lineRule="exact"/>
        <w:rPr>
          <w:sz w:val="20"/>
          <w:szCs w:val="20"/>
          <w:color w:val="auto"/>
        </w:rPr>
      </w:pPr>
    </w:p>
    <w:p>
      <w:pPr>
        <w:jc w:val="both"/>
        <w:ind w:firstLine="6"/>
        <w:spacing w:after="0" w:line="203" w:lineRule="auto"/>
        <w:rPr>
          <w:sz w:val="20"/>
          <w:szCs w:val="20"/>
          <w:color w:val="auto"/>
        </w:rPr>
      </w:pPr>
      <w:r>
        <w:rPr>
          <w:rFonts w:ascii="Calibri" w:cs="Calibri" w:eastAsia="Calibri" w:hAnsi="Calibri"/>
          <w:sz w:val="18"/>
          <w:szCs w:val="18"/>
          <w:color w:val="auto"/>
        </w:rPr>
        <w:t>All determinatons required to be made under this Secton 11, including whether and when a reducton is required and the amount of such reducton and the assumptons to be utlized in arriving at such determinaton, will be made by a natonally recognized accountng frm mutually agreed to by the Executve and the Company (the “Accountng Firm”) which will provide detailed supportng calculatons both to the Company and the Executve within ten (10) business days of the receipt of notce from the Executve that there has been a Payment, or such earlier tme as is requested by the Company; provided that for purposes of determining the amount of any reducton, the Executve will be deemed to pay federal income tax at the highest marginal rates applicable to individuals in the calendar year that any such Qualifying Terminaton occurs.</w:t>
      </w:r>
    </w:p>
    <w:p>
      <w:pPr>
        <w:spacing w:after="0" w:line="289" w:lineRule="exact"/>
        <w:rPr>
          <w:sz w:val="20"/>
          <w:szCs w:val="20"/>
          <w:color w:val="auto"/>
        </w:rPr>
      </w:pPr>
    </w:p>
    <w:p>
      <w:pPr>
        <w:jc w:val="both"/>
        <w:ind w:firstLine="6"/>
        <w:spacing w:after="0" w:line="220" w:lineRule="auto"/>
        <w:rPr>
          <w:sz w:val="20"/>
          <w:szCs w:val="20"/>
          <w:color w:val="auto"/>
        </w:rPr>
      </w:pPr>
      <w:r>
        <w:rPr>
          <w:rFonts w:ascii="Calibri" w:cs="Calibri" w:eastAsia="Calibri" w:hAnsi="Calibri"/>
          <w:sz w:val="18"/>
          <w:szCs w:val="18"/>
          <w:color w:val="auto"/>
        </w:rPr>
        <w:t>All fees and expenses of the Accountng Firm will be borne solely by the Company. If the Accountng Firm determines that no excise tax is payable by the Executve, it will so indicate to the Executve in writng. Any determinaton by the Accountng Firm will be binding upon the Company and the Executve.</w:t>
      </w:r>
    </w:p>
    <w:p>
      <w:pPr>
        <w:spacing w:after="0" w:line="3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12. Miscellaneous</w:t>
      </w:r>
    </w:p>
    <w:p>
      <w:pPr>
        <w:spacing w:after="0" w:line="3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The Executve will not be enttled to any notce of terminaton or pay in lieu thereof.</w:t>
      </w:r>
    </w:p>
    <w:p>
      <w:pPr>
        <w:spacing w:after="0" w:line="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Severance Benefts under this Plan are paid entrely by the Company from its general assets.</w:t>
      </w:r>
    </w:p>
    <w:p>
      <w:pPr>
        <w:spacing w:after="0" w:line="42" w:lineRule="exact"/>
        <w:rPr>
          <w:sz w:val="20"/>
          <w:szCs w:val="20"/>
          <w:color w:val="auto"/>
        </w:rPr>
      </w:pPr>
    </w:p>
    <w:p>
      <w:pPr>
        <w:jc w:val="both"/>
        <w:ind w:firstLine="6"/>
        <w:spacing w:after="0" w:line="213" w:lineRule="auto"/>
        <w:rPr>
          <w:sz w:val="20"/>
          <w:szCs w:val="20"/>
          <w:color w:val="auto"/>
        </w:rPr>
      </w:pPr>
      <w:r>
        <w:rPr>
          <w:rFonts w:ascii="Calibri" w:cs="Calibri" w:eastAsia="Calibri" w:hAnsi="Calibri"/>
          <w:sz w:val="18"/>
          <w:szCs w:val="18"/>
          <w:color w:val="auto"/>
        </w:rPr>
        <w:t>This Plan is not a contract of employment, does not guarantee the Executve employment for any specifed period and does not limit the right of the Company to terminate the employment of the Executve at any tme.</w:t>
      </w:r>
    </w:p>
    <w:p>
      <w:pPr>
        <w:spacing w:after="0" w:line="55" w:lineRule="exact"/>
        <w:rPr>
          <w:sz w:val="20"/>
          <w:szCs w:val="20"/>
          <w:color w:val="auto"/>
        </w:rPr>
      </w:pPr>
    </w:p>
    <w:p>
      <w:pPr>
        <w:jc w:val="both"/>
        <w:ind w:firstLine="6"/>
        <w:spacing w:after="0" w:line="213" w:lineRule="auto"/>
        <w:rPr>
          <w:sz w:val="20"/>
          <w:szCs w:val="20"/>
          <w:color w:val="auto"/>
        </w:rPr>
      </w:pPr>
      <w:r>
        <w:rPr>
          <w:rFonts w:ascii="Calibri" w:cs="Calibri" w:eastAsia="Calibri" w:hAnsi="Calibri"/>
          <w:sz w:val="18"/>
          <w:szCs w:val="18"/>
          <w:color w:val="auto"/>
        </w:rPr>
        <w:t>If an Executve should die while any amount is stll payable to the Executve hereunder had the Executve contnued to live, all such amounts will be paid in accordance with this Plan to the Executve’s designated heirs or, in the absence of such designaton, to the Executve’s estate.</w:t>
      </w:r>
    </w:p>
    <w:p>
      <w:pPr>
        <w:spacing w:after="0" w:line="42" w:lineRule="exact"/>
        <w:rPr>
          <w:sz w:val="20"/>
          <w:szCs w:val="20"/>
          <w:color w:val="auto"/>
        </w:rPr>
      </w:pPr>
    </w:p>
    <w:p>
      <w:pPr>
        <w:jc w:val="both"/>
        <w:ind w:firstLine="6"/>
        <w:spacing w:after="0" w:line="220" w:lineRule="auto"/>
        <w:rPr>
          <w:sz w:val="20"/>
          <w:szCs w:val="20"/>
          <w:color w:val="auto"/>
        </w:rPr>
      </w:pPr>
      <w:r>
        <w:rPr>
          <w:rFonts w:ascii="Calibri" w:cs="Calibri" w:eastAsia="Calibri" w:hAnsi="Calibri"/>
          <w:sz w:val="18"/>
          <w:szCs w:val="18"/>
          <w:color w:val="auto"/>
        </w:rPr>
        <w:t>The numbered secton headings contained in this Plan are included solely for convenience of reference and will not in any way afect the meaning of any provision of this Plan.</w:t>
      </w:r>
    </w:p>
    <w:p>
      <w:pPr>
        <w:spacing w:after="0" w:line="43" w:lineRule="exact"/>
        <w:rPr>
          <w:sz w:val="20"/>
          <w:szCs w:val="20"/>
          <w:color w:val="auto"/>
        </w:rPr>
      </w:pPr>
    </w:p>
    <w:p>
      <w:pPr>
        <w:jc w:val="both"/>
        <w:ind w:firstLine="6"/>
        <w:spacing w:after="0" w:line="210" w:lineRule="auto"/>
        <w:rPr>
          <w:sz w:val="20"/>
          <w:szCs w:val="20"/>
          <w:color w:val="auto"/>
        </w:rPr>
      </w:pPr>
      <w:r>
        <w:rPr>
          <w:rFonts w:ascii="Calibri" w:cs="Calibri" w:eastAsia="Calibri" w:hAnsi="Calibri"/>
          <w:sz w:val="18"/>
          <w:szCs w:val="18"/>
          <w:color w:val="auto"/>
        </w:rPr>
        <w:t>If, for any reason, any one or more of the provisions or part of a provision contained in this Plan will be held to be invalid, illegal or unenforceable in any respect, such invalidity, illegality or unenforceability will not afect any other provision or part of a provision of this Plan not held so invalid, illegal or unenforceable, and each other provision or part of a provision will to the full extent consistent with law remain in full force and efect.</w:t>
      </w:r>
    </w:p>
    <w:p>
      <w:pPr>
        <w:spacing w:after="0" w:line="44"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The Plan will be governed by and construed in accordance with the laws of the State of New York without regard to the conficts of law provisions thereof.</w:t>
      </w:r>
    </w:p>
    <w:p>
      <w:pPr>
        <w:spacing w:after="0" w:line="4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The Plan will be binding on all successors and assigns of the Xylem Inc. and an Executve.</w:t>
      </w:r>
    </w:p>
    <w:p>
      <w:pPr>
        <w:spacing w:after="0" w:line="3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13. Notces</w:t>
      </w:r>
    </w:p>
    <w:p>
      <w:pPr>
        <w:spacing w:after="0" w:line="42" w:lineRule="exact"/>
        <w:rPr>
          <w:sz w:val="20"/>
          <w:szCs w:val="20"/>
          <w:color w:val="auto"/>
        </w:rPr>
      </w:pPr>
    </w:p>
    <w:p>
      <w:pPr>
        <w:jc w:val="both"/>
        <w:ind w:firstLine="6"/>
        <w:spacing w:after="0" w:line="206" w:lineRule="auto"/>
        <w:rPr>
          <w:sz w:val="20"/>
          <w:szCs w:val="20"/>
          <w:color w:val="auto"/>
        </w:rPr>
      </w:pPr>
      <w:r>
        <w:rPr>
          <w:rFonts w:ascii="Calibri" w:cs="Calibri" w:eastAsia="Calibri" w:hAnsi="Calibri"/>
          <w:sz w:val="18"/>
          <w:szCs w:val="18"/>
          <w:color w:val="auto"/>
        </w:rPr>
        <w:t>Any notce and all other communicaton provided for in this Plan will be in writng and will be deemed to have been duly given when delivered via email, by hand, or overnight courier or three (3) days afer it has been mailed by United States registered mail, return receipt requested, postage prepaid, addressed to the respectve addresses set forth below, or to such other address as either party may have furnished to the other in writng in accordance herewith, except that notce of change of address will be efectve only upon receipt.</w:t>
      </w:r>
    </w:p>
    <w:p>
      <w:pPr>
        <w:sectPr>
          <w:pgSz w:w="11900" w:h="16838" w:orient="portrait"/>
          <w:cols w:equalWidth="0" w:num="1">
            <w:col w:w="11240"/>
          </w:cols>
          <w:pgMar w:left="320" w:top="1395" w:right="339" w:bottom="1440" w:gutter="0" w:footer="0" w:header="0"/>
        </w:sectPr>
      </w:pPr>
    </w:p>
    <w:p>
      <w:pPr>
        <w:spacing w:after="0" w:line="177" w:lineRule="exact"/>
        <w:rPr>
          <w:sz w:val="20"/>
          <w:szCs w:val="20"/>
          <w:color w:val="auto"/>
        </w:rPr>
      </w:pPr>
    </w:p>
    <w:p>
      <w:pPr>
        <w:ind w:left="400"/>
        <w:spacing w:after="0"/>
        <w:rPr>
          <w:sz w:val="20"/>
          <w:szCs w:val="20"/>
          <w:color w:val="auto"/>
        </w:rPr>
      </w:pPr>
      <w:r>
        <w:rPr>
          <w:rFonts w:ascii="Calibri" w:cs="Calibri" w:eastAsia="Calibri" w:hAnsi="Calibri"/>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4180"/>
        <w:spacing w:after="0"/>
        <w:rPr>
          <w:sz w:val="20"/>
          <w:szCs w:val="20"/>
          <w:color w:val="auto"/>
        </w:rPr>
      </w:pPr>
      <w:r>
        <w:rPr>
          <w:rFonts w:ascii="Calibri" w:cs="Calibri" w:eastAsia="Calibri" w:hAnsi="Calibri"/>
          <w:sz w:val="17"/>
          <w:szCs w:val="17"/>
          <w:color w:val="auto"/>
        </w:rPr>
        <w:t>If to Executve:</w:t>
      </w:r>
    </w:p>
    <w:p>
      <w:pPr>
        <w:spacing w:after="0" w:line="95" w:lineRule="exact"/>
        <w:rPr>
          <w:sz w:val="20"/>
          <w:szCs w:val="20"/>
          <w:color w:val="auto"/>
        </w:rPr>
      </w:pPr>
    </w:p>
    <w:p>
      <w:pPr>
        <w:sectPr>
          <w:pgSz w:w="11900" w:h="16838" w:orient="portrait"/>
          <w:cols w:equalWidth="0" w:num="2">
            <w:col w:w="5300" w:space="720"/>
            <w:col w:w="5220"/>
          </w:cols>
          <w:pgMar w:left="320" w:top="1395" w:right="339" w:bottom="1440" w:gutter="0" w:footer="0" w:header="0"/>
          <w:type w:val="continuous"/>
        </w:sectPr>
      </w:pPr>
    </w:p>
    <w:p>
      <w:pPr>
        <w:ind w:left="400"/>
        <w:spacing w:after="0"/>
        <w:rPr>
          <w:sz w:val="20"/>
          <w:szCs w:val="20"/>
          <w:color w:val="auto"/>
        </w:rPr>
      </w:pPr>
      <w:r>
        <w:rPr>
          <w:rFonts w:ascii="Calibri" w:cs="Calibri" w:eastAsia="Calibri" w:hAnsi="Calibri"/>
          <w:sz w:val="18"/>
          <w:szCs w:val="18"/>
          <w:color w:val="auto"/>
        </w:rPr>
        <w:t>Xylem Ofce of General Counsel at</w:t>
      </w:r>
    </w:p>
    <w:p>
      <w:pPr>
        <w:ind w:left="400"/>
        <w:spacing w:after="0" w:line="195" w:lineRule="auto"/>
        <w:rPr>
          <w:sz w:val="20"/>
          <w:szCs w:val="20"/>
          <w:color w:val="auto"/>
        </w:rPr>
      </w:pPr>
      <w:r>
        <w:rPr>
          <w:rFonts w:ascii="Calibri" w:cs="Calibri" w:eastAsia="Calibri" w:hAnsi="Calibri"/>
          <w:sz w:val="18"/>
          <w:szCs w:val="18"/>
          <w:color w:val="auto"/>
        </w:rPr>
        <w:t>General.Counsel@xylem.com</w:t>
      </w:r>
    </w:p>
    <w:p>
      <w:pPr>
        <w:spacing w:after="0" w:line="20" w:lineRule="exact"/>
        <w:rPr>
          <w:sz w:val="20"/>
          <w:szCs w:val="20"/>
          <w:color w:val="auto"/>
        </w:rPr>
      </w:pPr>
      <w:r>
        <w:rPr>
          <w:sz w:val="20"/>
          <w:szCs w:val="20"/>
          <w:color w:val="auto"/>
        </w:rPr>
        <w:br w:type="column"/>
      </w:r>
    </w:p>
    <w:p>
      <w:pPr>
        <w:ind w:right="560"/>
        <w:spacing w:after="0" w:line="213" w:lineRule="auto"/>
        <w:rPr>
          <w:sz w:val="20"/>
          <w:szCs w:val="20"/>
          <w:color w:val="auto"/>
        </w:rPr>
      </w:pPr>
      <w:r>
        <w:rPr>
          <w:rFonts w:ascii="Calibri" w:cs="Calibri" w:eastAsia="Calibri" w:hAnsi="Calibri"/>
          <w:sz w:val="18"/>
          <w:szCs w:val="18"/>
          <w:color w:val="auto"/>
        </w:rPr>
        <w:t>To the most recent address of Executve set forth in the personnel records of the Company.</w:t>
      </w:r>
    </w:p>
    <w:p>
      <w:pPr>
        <w:spacing w:after="0" w:line="200" w:lineRule="exact"/>
        <w:rPr>
          <w:sz w:val="20"/>
          <w:szCs w:val="20"/>
          <w:color w:val="auto"/>
        </w:rPr>
      </w:pPr>
    </w:p>
    <w:p>
      <w:pPr>
        <w:sectPr>
          <w:pgSz w:w="11900" w:h="16838" w:orient="portrait"/>
          <w:cols w:equalWidth="0" w:num="2">
            <w:col w:w="5300" w:space="720"/>
            <w:col w:w="5220"/>
          </w:cols>
          <w:pgMar w:left="320" w:top="13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ectPr>
          <w:pgSz w:w="11900" w:h="16838" w:orient="portrait"/>
          <w:cols w:equalWidth="0" w:num="1">
            <w:col w:w="11240"/>
          </w:cols>
          <w:pgMar w:left="320" w:top="1395" w:right="339" w:bottom="1440" w:gutter="0" w:footer="0" w:header="0"/>
          <w:type w:val="continuous"/>
        </w:sectPr>
      </w:pPr>
    </w:p>
    <w:bookmarkStart w:id="66" w:name="page67"/>
    <w:bookmarkEnd w:id="66"/>
    <w:p>
      <w:pPr>
        <w:spacing w:after="0" w:line="3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14. Adopton and Amendments</w:t>
      </w:r>
    </w:p>
    <w:p>
      <w:pPr>
        <w:spacing w:after="0" w:line="42" w:lineRule="exact"/>
        <w:rPr>
          <w:sz w:val="20"/>
          <w:szCs w:val="20"/>
          <w:color w:val="auto"/>
        </w:rPr>
      </w:pPr>
    </w:p>
    <w:p>
      <w:pPr>
        <w:jc w:val="both"/>
        <w:ind w:firstLine="6"/>
        <w:spacing w:after="0" w:line="220" w:lineRule="auto"/>
        <w:rPr>
          <w:sz w:val="20"/>
          <w:szCs w:val="20"/>
          <w:color w:val="auto"/>
        </w:rPr>
      </w:pPr>
      <w:r>
        <w:rPr>
          <w:rFonts w:ascii="Calibri" w:cs="Calibri" w:eastAsia="Calibri" w:hAnsi="Calibri"/>
          <w:sz w:val="18"/>
          <w:szCs w:val="18"/>
          <w:color w:val="auto"/>
        </w:rPr>
        <w:t>This Plan was initally adopted by Xylem Inc. on October 31, 2011 (the “</w:t>
      </w:r>
      <w:r>
        <w:rPr>
          <w:rFonts w:ascii="Calibri" w:cs="Calibri" w:eastAsia="Calibri" w:hAnsi="Calibri"/>
          <w:sz w:val="18"/>
          <w:szCs w:val="18"/>
          <w:b w:val="1"/>
          <w:bCs w:val="1"/>
          <w:color w:val="auto"/>
        </w:rPr>
        <w:t>Adopton Date</w:t>
      </w:r>
      <w:r>
        <w:rPr>
          <w:rFonts w:ascii="Calibri" w:cs="Calibri" w:eastAsia="Calibri" w:hAnsi="Calibri"/>
          <w:sz w:val="18"/>
          <w:szCs w:val="18"/>
          <w:color w:val="auto"/>
        </w:rPr>
        <w:t>”) and subsequently amended on each of March 26, 2012, October 14, 2014, February 24, 2016, and July 11, 2022 (administratve updates only).</w:t>
      </w:r>
    </w:p>
    <w:p>
      <w:pPr>
        <w:spacing w:after="0" w:line="3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15. Secton 409A</w:t>
      </w:r>
    </w:p>
    <w:p>
      <w:pPr>
        <w:spacing w:after="0" w:line="42" w:lineRule="exact"/>
        <w:rPr>
          <w:sz w:val="20"/>
          <w:szCs w:val="20"/>
          <w:color w:val="auto"/>
        </w:rPr>
      </w:pPr>
    </w:p>
    <w:p>
      <w:pPr>
        <w:jc w:val="both"/>
        <w:ind w:firstLine="6"/>
        <w:spacing w:after="0" w:line="207" w:lineRule="auto"/>
        <w:rPr>
          <w:sz w:val="20"/>
          <w:szCs w:val="20"/>
          <w:color w:val="auto"/>
        </w:rPr>
      </w:pPr>
      <w:r>
        <w:rPr>
          <w:rFonts w:ascii="Calibri" w:cs="Calibri" w:eastAsia="Calibri" w:hAnsi="Calibri"/>
          <w:sz w:val="17"/>
          <w:szCs w:val="17"/>
          <w:color w:val="auto"/>
        </w:rPr>
        <w:t>This Plan is intended to comply with Secton 409A of the Code and will be interpreted in a manner intended to comply with Secton 409A of the Code. Notwithstanding anything herein to the contrary, (i) if at the tme of the Executve’s terminaton of employment with the Company the Executve is a “specifed employee” as defned in Secton 409A of the Code (and any related regulatons or other pronouncements thereunder) and the deferral of the commencement of any payments or benefts otherwise payable hereunder as a result of such terminaton of employment is necessary in order to prevent any accelerated or additonal tax under Secton 409A of the Code, the Company will defer the commencement of the payment of any such payments or benefts hereunder (without any reducton in such payments or benefts ultmately paid or provided to the Executve) untl the date that is the earlier of (a) the 1</w:t>
      </w:r>
      <w:r>
        <w:rPr>
          <w:rFonts w:ascii="Calibri" w:cs="Calibri" w:eastAsia="Calibri" w:hAnsi="Calibri"/>
          <w:sz w:val="22"/>
          <w:szCs w:val="22"/>
          <w:color w:val="auto"/>
          <w:vertAlign w:val="superscript"/>
        </w:rPr>
        <w:t>st</w:t>
      </w:r>
      <w:r>
        <w:rPr>
          <w:rFonts w:ascii="Calibri" w:cs="Calibri" w:eastAsia="Calibri" w:hAnsi="Calibri"/>
          <w:sz w:val="17"/>
          <w:szCs w:val="17"/>
          <w:color w:val="auto"/>
        </w:rPr>
        <w:t xml:space="preserve"> day of the 7</w:t>
      </w:r>
      <w:r>
        <w:rPr>
          <w:rFonts w:ascii="Calibri" w:cs="Calibri" w:eastAsia="Calibri" w:hAnsi="Calibri"/>
          <w:sz w:val="22"/>
          <w:szCs w:val="22"/>
          <w:color w:val="auto"/>
          <w:vertAlign w:val="superscript"/>
        </w:rPr>
        <w:t>th</w:t>
      </w:r>
      <w:r>
        <w:rPr>
          <w:rFonts w:ascii="Calibri" w:cs="Calibri" w:eastAsia="Calibri" w:hAnsi="Calibri"/>
          <w:sz w:val="17"/>
          <w:szCs w:val="17"/>
          <w:color w:val="auto"/>
        </w:rPr>
        <w:t xml:space="preserve"> month following the Executve’s terminaton of employment with the Company and (b) the Executve’s death, at which point all payments deferred pursuant to this Secton 15 will be paid to the Executve in a lump sum and (ii) if any other payments of money or other benefts due hereunder could cause the applicaton of an accelerated or additonal tax under Secton 409A of the Code, such payments or other benefts will be deferred if deferral will make such payment or other benefts compliant under Secton 409A of the Code, or otherwise such payment or other benefts will be restructured, to the extent possible, in a manner, determined by the Company, that does not cause such an accelerated or additonal tax. To the extent any reimbursements or in-kind benefts due under this Plan consttute “deferred compensaton” under Secton 409A of the Code, any such reimbursements or in-kind benefts will be paid in a manner consistent with Treas. Reg. Secton 1.409A-3(i)(1)(iv). Each payment made under this Plan will be designated as a “separate payment” within the meaning of Secton 409A of the Code. The Company will consult with Executves in good faith regarding the implementaton of the provisions of this Secton; provided that neither the Company nor any of its employees or representatves will have any liability to Executves with respect to this Secton.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6</w:t>
      </w:r>
    </w:p>
    <w:p>
      <w:pPr>
        <w:sectPr>
          <w:pgSz w:w="11900" w:h="16838" w:orient="portrait"/>
          <w:cols w:equalWidth="0" w:num="1">
            <w:col w:w="11240"/>
          </w:cols>
          <w:pgMar w:left="320" w:top="1440" w:right="339" w:bottom="1440" w:gutter="0" w:footer="0" w:header="0"/>
        </w:sectPr>
      </w:pPr>
    </w:p>
    <w:bookmarkStart w:id="67" w:name="page68"/>
    <w:bookmarkEnd w:id="67"/>
    <w:p>
      <w:pPr>
        <w:ind w:left="40"/>
        <w:spacing w:after="0"/>
        <w:rPr>
          <w:sz w:val="20"/>
          <w:szCs w:val="20"/>
          <w:color w:val="auto"/>
        </w:rPr>
      </w:pPr>
      <w:r>
        <w:rPr>
          <w:rFonts w:ascii="Calibri" w:cs="Calibri" w:eastAsia="Calibri" w:hAnsi="Calibri"/>
          <w:sz w:val="18"/>
          <w:szCs w:val="18"/>
          <w:b w:val="1"/>
          <w:bCs w:val="1"/>
          <w:u w:val="single" w:color="auto"/>
          <w:color w:val="auto"/>
        </w:rPr>
        <w:t>PRIVILEGED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940435</wp:posOffset>
            </wp:positionV>
            <wp:extent cx="1397000" cy="5657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13970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Xylem Inc.</w:t>
      </w:r>
    </w:p>
    <w:p>
      <w:pPr>
        <w:spacing w:after="0" w:line="202" w:lineRule="auto"/>
        <w:rPr>
          <w:sz w:val="20"/>
          <w:szCs w:val="20"/>
          <w:color w:val="auto"/>
        </w:rPr>
      </w:pPr>
      <w:r>
        <w:rPr>
          <w:rFonts w:ascii="Calibri" w:cs="Calibri" w:eastAsia="Calibri" w:hAnsi="Calibri"/>
          <w:sz w:val="18"/>
          <w:szCs w:val="18"/>
          <w:b w:val="1"/>
          <w:bCs w:val="1"/>
          <w:color w:val="auto"/>
        </w:rPr>
        <w:t>1 Internatonal Drive</w:t>
      </w:r>
    </w:p>
    <w:p>
      <w:pPr>
        <w:spacing w:after="0" w:line="196" w:lineRule="auto"/>
        <w:rPr>
          <w:sz w:val="20"/>
          <w:szCs w:val="20"/>
          <w:color w:val="auto"/>
        </w:rPr>
      </w:pPr>
      <w:r>
        <w:rPr>
          <w:rFonts w:ascii="Calibri" w:cs="Calibri" w:eastAsia="Calibri" w:hAnsi="Calibri"/>
          <w:sz w:val="18"/>
          <w:szCs w:val="18"/>
          <w:b w:val="1"/>
          <w:bCs w:val="1"/>
          <w:color w:val="auto"/>
        </w:rPr>
        <w:t>Rye Brook, NY 10573</w:t>
      </w:r>
    </w:p>
    <w:p>
      <w:pPr>
        <w:spacing w:after="0" w:line="266"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b w:val="1"/>
          <w:bCs w:val="1"/>
          <w:u w:val="single" w:color="auto"/>
          <w:color w:val="auto"/>
        </w:rPr>
        <w:t>Personal and Confdental</w:t>
      </w:r>
    </w:p>
    <w:p>
      <w:pPr>
        <w:spacing w:after="0" w:line="266" w:lineRule="exact"/>
        <w:rPr>
          <w:sz w:val="20"/>
          <w:szCs w:val="20"/>
          <w:color w:val="auto"/>
        </w:rPr>
      </w:pPr>
    </w:p>
    <w:p>
      <w:pPr>
        <w:ind w:left="140"/>
        <w:spacing w:after="0"/>
        <w:tabs>
          <w:tab w:leader="none" w:pos="660" w:val="left"/>
        </w:tabs>
        <w:rPr>
          <w:sz w:val="20"/>
          <w:szCs w:val="20"/>
          <w:color w:val="auto"/>
        </w:rPr>
      </w:pPr>
      <w:r>
        <w:rPr>
          <w:rFonts w:ascii="Calibri" w:cs="Calibri" w:eastAsia="Calibri" w:hAnsi="Calibri"/>
          <w:sz w:val="18"/>
          <w:szCs w:val="18"/>
          <w:color w:val="auto"/>
        </w:rPr>
        <w:t>Date:</w:t>
      </w:r>
      <w:r>
        <w:rPr>
          <w:sz w:val="20"/>
          <w:szCs w:val="20"/>
          <w:color w:val="auto"/>
        </w:rPr>
        <w:tab/>
      </w:r>
      <w:r>
        <w:rPr>
          <w:rFonts w:ascii="Calibri" w:cs="Calibri" w:eastAsia="Calibri" w:hAnsi="Calibri"/>
          <w:sz w:val="17"/>
          <w:szCs w:val="17"/>
          <w:color w:val="auto"/>
        </w:rPr>
        <w:t>May 4, 2022</w:t>
      </w:r>
    </w:p>
    <w:p>
      <w:pPr>
        <w:spacing w:after="0" w:line="64" w:lineRule="exact"/>
        <w:rPr>
          <w:sz w:val="20"/>
          <w:szCs w:val="20"/>
          <w:color w:val="auto"/>
        </w:rPr>
      </w:pPr>
    </w:p>
    <w:p>
      <w:pPr>
        <w:ind w:left="140"/>
        <w:spacing w:after="0"/>
        <w:tabs>
          <w:tab w:leader="none" w:pos="480" w:val="left"/>
        </w:tabs>
        <w:rPr>
          <w:sz w:val="20"/>
          <w:szCs w:val="20"/>
          <w:color w:val="auto"/>
        </w:rPr>
      </w:pPr>
      <w:r>
        <w:rPr>
          <w:rFonts w:ascii="Calibri" w:cs="Calibri" w:eastAsia="Calibri" w:hAnsi="Calibri"/>
          <w:sz w:val="18"/>
          <w:szCs w:val="18"/>
          <w:color w:val="auto"/>
        </w:rPr>
        <w:t>To:</w:t>
      </w:r>
      <w:r>
        <w:rPr>
          <w:sz w:val="20"/>
          <w:szCs w:val="20"/>
          <w:color w:val="auto"/>
        </w:rPr>
        <w:tab/>
      </w:r>
      <w:r>
        <w:rPr>
          <w:rFonts w:ascii="Calibri" w:cs="Calibri" w:eastAsia="Calibri" w:hAnsi="Calibri"/>
          <w:sz w:val="17"/>
          <w:szCs w:val="17"/>
          <w:color w:val="auto"/>
        </w:rPr>
        <w:t>Colin Sabol</w:t>
      </w:r>
    </w:p>
    <w:p>
      <w:pPr>
        <w:spacing w:after="0" w:line="64" w:lineRule="exact"/>
        <w:rPr>
          <w:sz w:val="20"/>
          <w:szCs w:val="20"/>
          <w:color w:val="auto"/>
        </w:rPr>
      </w:pPr>
    </w:p>
    <w:p>
      <w:pPr>
        <w:ind w:left="140"/>
        <w:spacing w:after="0"/>
        <w:tabs>
          <w:tab w:leader="none" w:pos="700" w:val="left"/>
        </w:tabs>
        <w:rPr>
          <w:sz w:val="20"/>
          <w:szCs w:val="20"/>
          <w:color w:val="auto"/>
        </w:rPr>
      </w:pPr>
      <w:r>
        <w:rPr>
          <w:rFonts w:ascii="Calibri" w:cs="Calibri" w:eastAsia="Calibri" w:hAnsi="Calibri"/>
          <w:sz w:val="18"/>
          <w:szCs w:val="18"/>
          <w:color w:val="auto"/>
        </w:rPr>
        <w:t>From:</w:t>
      </w:r>
      <w:r>
        <w:rPr>
          <w:sz w:val="20"/>
          <w:szCs w:val="20"/>
          <w:color w:val="auto"/>
        </w:rPr>
        <w:tab/>
      </w:r>
      <w:r>
        <w:rPr>
          <w:rFonts w:ascii="Calibri" w:cs="Calibri" w:eastAsia="Calibri" w:hAnsi="Calibri"/>
          <w:sz w:val="17"/>
          <w:szCs w:val="17"/>
          <w:color w:val="auto"/>
        </w:rPr>
        <w:t>Claudia Toussaint and Shan Jarvis</w:t>
      </w:r>
    </w:p>
    <w:p>
      <w:pPr>
        <w:spacing w:after="0" w:line="77" w:lineRule="exact"/>
        <w:rPr>
          <w:sz w:val="20"/>
          <w:szCs w:val="20"/>
          <w:color w:val="auto"/>
        </w:rPr>
      </w:pPr>
    </w:p>
    <w:p>
      <w:pPr>
        <w:ind w:left="140"/>
        <w:spacing w:after="0"/>
        <w:tabs>
          <w:tab w:leader="none" w:pos="840" w:val="left"/>
        </w:tabs>
        <w:rPr>
          <w:sz w:val="20"/>
          <w:szCs w:val="20"/>
          <w:color w:val="auto"/>
        </w:rPr>
      </w:pPr>
      <w:r>
        <w:rPr>
          <w:rFonts w:ascii="Calibri" w:cs="Calibri" w:eastAsia="Calibri" w:hAnsi="Calibri"/>
          <w:sz w:val="18"/>
          <w:szCs w:val="18"/>
          <w:color w:val="auto"/>
        </w:rPr>
        <w:t>Subject:</w:t>
      </w:r>
      <w:r>
        <w:rPr>
          <w:sz w:val="20"/>
          <w:szCs w:val="20"/>
          <w:color w:val="auto"/>
        </w:rPr>
        <w:tab/>
      </w:r>
      <w:r>
        <w:rPr>
          <w:rFonts w:ascii="Calibri" w:cs="Calibri" w:eastAsia="Calibri" w:hAnsi="Calibri"/>
          <w:sz w:val="17"/>
          <w:szCs w:val="17"/>
          <w:color w:val="auto"/>
        </w:rPr>
        <w:t>Separaton Memorandum</w:t>
      </w:r>
    </w:p>
    <w:p>
      <w:pPr>
        <w:spacing w:after="0" w:line="231" w:lineRule="exact"/>
        <w:rPr>
          <w:sz w:val="20"/>
          <w:szCs w:val="20"/>
          <w:color w:val="auto"/>
        </w:rPr>
      </w:pPr>
    </w:p>
    <w:p>
      <w:pPr>
        <w:jc w:val="both"/>
        <w:ind w:left="140"/>
        <w:spacing w:after="0" w:line="237" w:lineRule="auto"/>
        <w:rPr>
          <w:sz w:val="20"/>
          <w:szCs w:val="20"/>
          <w:color w:val="auto"/>
        </w:rPr>
      </w:pPr>
      <w:r>
        <w:rPr>
          <w:rFonts w:ascii="Calibri" w:cs="Calibri" w:eastAsia="Calibri" w:hAnsi="Calibri"/>
          <w:sz w:val="18"/>
          <w:szCs w:val="18"/>
          <w:color w:val="auto"/>
        </w:rPr>
        <w:t>The purpose of this Separaton Memorandum (the "Memorandum") is to confrm our mutual understanding regarding your severance arrangements and separaton from employment from Xylem Inc. ("Xylem" or the "Company") as set forth in this Memorandum and the accompanying Separaton Agreement and General Release (the "Release"), and in accordance with the terms of the Xylem Inc. Senior Executve Severance Pay Plan (the "Severance Plan"). The Severance Plan accompanies these documents and is incorporated herein. We suggest that you review the Severance Plan carefully, along with the Memorandum and the Release, and have them reviewed by your atorney, partcularly since these documents specify eligibility requirements for the receipt of severance pay, and other important provisions. Upon the executon of the Release and expiraton of the review and revocaton period set forth therein, Xylem agrees to make the payments and provide the benefts to you as set forth herein.</w:t>
      </w:r>
    </w:p>
    <w:p>
      <w:pPr>
        <w:spacing w:after="0" w:line="110" w:lineRule="exact"/>
        <w:rPr>
          <w:sz w:val="20"/>
          <w:szCs w:val="20"/>
          <w:color w:val="auto"/>
        </w:rPr>
      </w:pPr>
    </w:p>
    <w:p>
      <w:pPr>
        <w:ind w:left="140"/>
        <w:spacing w:after="0"/>
        <w:rPr>
          <w:sz w:val="20"/>
          <w:szCs w:val="20"/>
          <w:color w:val="auto"/>
        </w:rPr>
      </w:pPr>
      <w:r>
        <w:rPr>
          <w:rFonts w:ascii="Calibri" w:cs="Calibri" w:eastAsia="Calibri" w:hAnsi="Calibri"/>
          <w:sz w:val="18"/>
          <w:szCs w:val="18"/>
          <w:b w:val="1"/>
          <w:bCs w:val="1"/>
          <w:u w:val="single" w:color="auto"/>
          <w:color w:val="auto"/>
        </w:rPr>
        <w:t>Expiraton of Service and Severance Arrangements</w:t>
      </w:r>
    </w:p>
    <w:p>
      <w:pPr>
        <w:spacing w:after="0" w:line="82" w:lineRule="exact"/>
        <w:rPr>
          <w:sz w:val="20"/>
          <w:szCs w:val="20"/>
          <w:color w:val="auto"/>
        </w:rPr>
      </w:pPr>
    </w:p>
    <w:p>
      <w:pPr>
        <w:jc w:val="both"/>
        <w:ind w:left="140"/>
        <w:spacing w:after="0" w:line="230" w:lineRule="auto"/>
        <w:rPr>
          <w:sz w:val="20"/>
          <w:szCs w:val="20"/>
          <w:color w:val="auto"/>
        </w:rPr>
      </w:pPr>
      <w:r>
        <w:rPr>
          <w:rFonts w:ascii="Calibri" w:cs="Calibri" w:eastAsia="Calibri" w:hAnsi="Calibri"/>
          <w:sz w:val="18"/>
          <w:szCs w:val="18"/>
          <w:b w:val="1"/>
          <w:bCs w:val="1"/>
          <w:color w:val="auto"/>
        </w:rPr>
        <w:t xml:space="preserve">Terminaton Date – </w:t>
      </w:r>
      <w:r>
        <w:rPr>
          <w:rFonts w:ascii="Calibri" w:cs="Calibri" w:eastAsia="Calibri" w:hAnsi="Calibri"/>
          <w:sz w:val="18"/>
          <w:szCs w:val="18"/>
          <w:color w:val="auto"/>
        </w:rPr>
        <w:t>Your last day of employment will be November 1, 2022 or an earlier date as mutually agreed in writng by you and the Company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(“Terminaton Date”). Efectve May 4, 2022, you will step down from the SVP &amp; President, M&amp;CS role and contnue to report to and support the CEO as Strategic Advisor to the Chief Executve Ofcer untl Terminaton Date.</w:t>
      </w:r>
    </w:p>
    <w:p>
      <w:pPr>
        <w:spacing w:after="0" w:line="111" w:lineRule="exact"/>
        <w:rPr>
          <w:sz w:val="20"/>
          <w:szCs w:val="20"/>
          <w:color w:val="auto"/>
        </w:rPr>
      </w:pPr>
    </w:p>
    <w:p>
      <w:pPr>
        <w:jc w:val="both"/>
        <w:ind w:left="140" w:firstLine="1"/>
        <w:spacing w:after="0" w:line="239" w:lineRule="auto"/>
        <w:rPr>
          <w:sz w:val="20"/>
          <w:szCs w:val="20"/>
          <w:color w:val="auto"/>
        </w:rPr>
      </w:pPr>
      <w:r>
        <w:rPr>
          <w:rFonts w:ascii="Calibri" w:cs="Calibri" w:eastAsia="Calibri" w:hAnsi="Calibri"/>
          <w:sz w:val="18"/>
          <w:szCs w:val="18"/>
          <w:b w:val="1"/>
          <w:bCs w:val="1"/>
          <w:color w:val="auto"/>
        </w:rPr>
        <w:t xml:space="preserve">Severance Pay – </w:t>
      </w:r>
      <w:r>
        <w:rPr>
          <w:rFonts w:ascii="Calibri" w:cs="Calibri" w:eastAsia="Calibri" w:hAnsi="Calibri"/>
          <w:sz w:val="18"/>
          <w:szCs w:val="18"/>
          <w:color w:val="auto"/>
        </w:rPr>
        <w:t>You will be eligible for Severance Pay of 24 months’ salary contnuaton (“Severance Payments”). Xylem will make these Severance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Payments on the Company's regular payroll schedule (currently bi-weekly) for the period from the Terminaton Date through 24 months thereafer ("Severance Period")</w:t>
      </w:r>
      <w:r>
        <w:rPr>
          <w:rFonts w:ascii="Calibri" w:cs="Calibri" w:eastAsia="Calibri" w:hAnsi="Calibri"/>
          <w:sz w:val="18"/>
          <w:szCs w:val="18"/>
          <w:b w:val="1"/>
          <w:bCs w:val="1"/>
          <w:color w:val="auto"/>
        </w:rPr>
        <w:t>.</w:t>
      </w:r>
      <w:r>
        <w:rPr>
          <w:rFonts w:ascii="Calibri" w:cs="Calibri" w:eastAsia="Calibri" w:hAnsi="Calibri"/>
          <w:sz w:val="18"/>
          <w:szCs w:val="18"/>
          <w:color w:val="auto"/>
        </w:rPr>
        <w:t xml:space="preserve"> Provided you do not become eligible for disability payments on or prior to your Terminaton Date, you will contnue to receive the Severance Payments at the rate of your current annual base salary of $522,180 through the "Severance End Date", which is the earlier of (i) 24 months from the Terminaton Date or (ii) the date your Severance Payments end in accordance with the "Right to Terminate Benefts" secton of the Severance Plan. In the event that you become disabled on or prior to your Terminaton Date, your enttlement to any short-term disability and/or long-term disability benefts shall be determined in accordance with the applicable short-term or long-term disability plans, and the treatment of any such benefts in coordinaton with the Severance Payments will be in accordance with the terms of such disability plans.</w:t>
      </w:r>
    </w:p>
    <w:p>
      <w:pPr>
        <w:spacing w:after="0" w:line="108" w:lineRule="exact"/>
        <w:rPr>
          <w:sz w:val="20"/>
          <w:szCs w:val="20"/>
          <w:color w:val="auto"/>
        </w:rPr>
      </w:pPr>
    </w:p>
    <w:p>
      <w:pPr>
        <w:ind w:left="140"/>
        <w:spacing w:after="0"/>
        <w:rPr>
          <w:sz w:val="20"/>
          <w:szCs w:val="20"/>
          <w:color w:val="auto"/>
        </w:rPr>
      </w:pPr>
      <w:r>
        <w:rPr>
          <w:rFonts w:ascii="Calibri" w:cs="Calibri" w:eastAsia="Calibri" w:hAnsi="Calibri"/>
          <w:sz w:val="18"/>
          <w:szCs w:val="18"/>
          <w:color w:val="auto"/>
        </w:rPr>
        <w:t>You will not be enttled to receive any other pay or any other compensaton from Xylem except as described in this Memorandum.</w:t>
      </w:r>
    </w:p>
    <w:p>
      <w:pPr>
        <w:sectPr>
          <w:pgSz w:w="11900" w:h="16838" w:orient="portrait"/>
          <w:cols w:equalWidth="0" w:num="1">
            <w:col w:w="11140"/>
          </w:cols>
          <w:pgMar w:left="320" w:top="153" w:right="439" w:bottom="1440" w:gutter="0" w:footer="0" w:header="0"/>
        </w:sectPr>
      </w:pPr>
    </w:p>
    <w:bookmarkStart w:id="68" w:name="page69"/>
    <w:bookmarkEnd w:id="68"/>
    <w:p>
      <w:pPr>
        <w:ind w:left="40"/>
        <w:spacing w:after="0"/>
        <w:rPr>
          <w:sz w:val="20"/>
          <w:szCs w:val="20"/>
          <w:color w:val="auto"/>
        </w:rPr>
      </w:pPr>
      <w:r>
        <w:rPr>
          <w:rFonts w:ascii="Calibri" w:cs="Calibri" w:eastAsia="Calibri" w:hAnsi="Calibri"/>
          <w:sz w:val="18"/>
          <w:szCs w:val="18"/>
          <w:b w:val="1"/>
          <w:bCs w:val="1"/>
          <w:u w:val="single" w:color="auto"/>
          <w:color w:val="auto"/>
        </w:rPr>
        <w:t>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Annual Incentve (Bonus)</w:t>
      </w:r>
    </w:p>
    <w:p>
      <w:pPr>
        <w:spacing w:after="0" w:line="82" w:lineRule="exact"/>
        <w:rPr>
          <w:sz w:val="20"/>
          <w:szCs w:val="20"/>
          <w:color w:val="auto"/>
        </w:rPr>
      </w:pPr>
    </w:p>
    <w:p>
      <w:pPr>
        <w:spacing w:after="0" w:line="245" w:lineRule="auto"/>
        <w:rPr>
          <w:sz w:val="20"/>
          <w:szCs w:val="20"/>
          <w:color w:val="auto"/>
        </w:rPr>
      </w:pPr>
      <w:r>
        <w:rPr>
          <w:rFonts w:ascii="Calibri" w:cs="Calibri" w:eastAsia="Calibri" w:hAnsi="Calibri"/>
          <w:sz w:val="18"/>
          <w:szCs w:val="18"/>
          <w:color w:val="auto"/>
        </w:rPr>
        <w:t>You will receive a pro-rated bonus payout based on the Annual Incentve Plan’s actual performance for fscal year 2022 and your Terminaton Date. The Actual performance will be based 100% on the Company’s fnancial performance. Payment will be provided to you in early March 2023.</w:t>
      </w:r>
    </w:p>
    <w:p>
      <w:pPr>
        <w:spacing w:after="0" w:line="222"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111111"/>
        </w:rPr>
        <w:t>Long Term Incentve Awards</w:t>
      </w:r>
    </w:p>
    <w:p>
      <w:pPr>
        <w:spacing w:after="0" w:line="82" w:lineRule="exact"/>
        <w:rPr>
          <w:sz w:val="20"/>
          <w:szCs w:val="20"/>
          <w:color w:val="auto"/>
        </w:rPr>
      </w:pPr>
    </w:p>
    <w:p>
      <w:pPr>
        <w:spacing w:after="0" w:line="245" w:lineRule="auto"/>
        <w:rPr>
          <w:sz w:val="20"/>
          <w:szCs w:val="20"/>
          <w:color w:val="auto"/>
        </w:rPr>
      </w:pPr>
      <w:r>
        <w:rPr>
          <w:rFonts w:ascii="Calibri" w:cs="Calibri" w:eastAsia="Calibri" w:hAnsi="Calibri"/>
          <w:sz w:val="18"/>
          <w:szCs w:val="18"/>
          <w:color w:val="111111"/>
        </w:rPr>
        <w:t>Details regarding your long-term incentve grants are provided in Exhibit A of the atached Separaton Agreement and General Release. You will receive the net vested shares afer setlement of shares in respect of your tax liability.</w:t>
      </w:r>
    </w:p>
    <w:p>
      <w:pPr>
        <w:sectPr>
          <w:pgSz w:w="11900" w:h="16838" w:orient="portrait"/>
          <w:cols w:equalWidth="0" w:num="1">
            <w:col w:w="11140"/>
          </w:cols>
          <w:pgMar w:left="320" w:top="153" w:right="439" w:bottom="1440" w:gutter="0" w:footer="0" w:header="0"/>
        </w:sectPr>
      </w:pPr>
    </w:p>
    <w:bookmarkStart w:id="69" w:name="page70"/>
    <w:bookmarkEnd w:id="69"/>
    <w:p>
      <w:pPr>
        <w:ind w:left="40"/>
        <w:spacing w:after="0"/>
        <w:rPr>
          <w:sz w:val="20"/>
          <w:szCs w:val="20"/>
          <w:color w:val="auto"/>
        </w:rPr>
      </w:pPr>
      <w:r>
        <w:rPr>
          <w:rFonts w:ascii="Calibri" w:cs="Calibri" w:eastAsia="Calibri" w:hAnsi="Calibri"/>
          <w:sz w:val="18"/>
          <w:szCs w:val="18"/>
          <w:b w:val="1"/>
          <w:bCs w:val="1"/>
          <w:u w:val="single" w:color="auto"/>
          <w:color w:val="auto"/>
        </w:rPr>
        <w:t>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111111"/>
        </w:rPr>
        <w:t>You will contnue to have access to your equity grants and holdings through Xylem</w:t>
      </w:r>
      <w:r>
        <w:rPr>
          <w:rFonts w:ascii="Calibri" w:cs="Calibri" w:eastAsia="Calibri" w:hAnsi="Calibri"/>
          <w:sz w:val="18"/>
          <w:szCs w:val="18"/>
          <w:color w:val="3D3B3D"/>
        </w:rPr>
        <w:t>'</w:t>
      </w:r>
      <w:r>
        <w:rPr>
          <w:rFonts w:ascii="Calibri" w:cs="Calibri" w:eastAsia="Calibri" w:hAnsi="Calibri"/>
          <w:sz w:val="18"/>
          <w:szCs w:val="18"/>
          <w:color w:val="111111"/>
        </w:rPr>
        <w:t>s plan administrator</w:t>
      </w:r>
      <w:r>
        <w:rPr>
          <w:rFonts w:ascii="Calibri" w:cs="Calibri" w:eastAsia="Calibri" w:hAnsi="Calibri"/>
          <w:sz w:val="18"/>
          <w:szCs w:val="18"/>
          <w:color w:val="3D3B3D"/>
        </w:rPr>
        <w:t>,</w:t>
      </w:r>
      <w:r>
        <w:rPr>
          <w:rFonts w:ascii="Calibri" w:cs="Calibri" w:eastAsia="Calibri" w:hAnsi="Calibri"/>
          <w:sz w:val="18"/>
          <w:szCs w:val="18"/>
          <w:color w:val="111111"/>
        </w:rPr>
        <w:t xml:space="preserve"> Morgan Stanley. Their contact informaton </w:t>
      </w:r>
      <w:r>
        <w:rPr>
          <w:rFonts w:ascii="Calibri" w:cs="Calibri" w:eastAsia="Calibri" w:hAnsi="Calibri"/>
          <w:sz w:val="18"/>
          <w:szCs w:val="18"/>
          <w:color w:val="000000"/>
        </w:rPr>
        <w:t>is</w:t>
      </w:r>
      <w:r>
        <w:rPr>
          <w:rFonts w:ascii="Calibri" w:cs="Calibri" w:eastAsia="Calibri" w:hAnsi="Calibri"/>
          <w:sz w:val="18"/>
          <w:szCs w:val="18"/>
          <w:color w:val="111111"/>
        </w:rPr>
        <w:t xml:space="preserve"> </w:t>
      </w:r>
      <w:r>
        <w:rPr>
          <w:rFonts w:ascii="Calibri" w:cs="Calibri" w:eastAsia="Calibri" w:hAnsi="Calibri"/>
          <w:sz w:val="18"/>
          <w:szCs w:val="18"/>
          <w:u w:val="single" w:color="auto"/>
          <w:color w:val="000000"/>
        </w:rPr>
        <w:t>www.stockplanconnect.com</w:t>
      </w:r>
      <w:r>
        <w:rPr>
          <w:rFonts w:ascii="Calibri" w:cs="Calibri" w:eastAsia="Calibri" w:hAnsi="Calibri"/>
          <w:sz w:val="18"/>
          <w:szCs w:val="18"/>
          <w:color w:val="000000"/>
        </w:rPr>
        <w:t xml:space="preserve"> or 1-</w:t>
      </w:r>
      <w:r>
        <w:rPr>
          <w:rFonts w:ascii="Calibri" w:cs="Calibri" w:eastAsia="Calibri" w:hAnsi="Calibri"/>
          <w:sz w:val="18"/>
          <w:szCs w:val="18"/>
          <w:color w:val="111111"/>
        </w:rPr>
        <w:t>800-477-7522, ext. 8850. Kim Rehm</w:t>
      </w:r>
      <w:r>
        <w:rPr>
          <w:rFonts w:ascii="Calibri" w:cs="Calibri" w:eastAsia="Calibri" w:hAnsi="Calibri"/>
          <w:sz w:val="18"/>
          <w:szCs w:val="18"/>
          <w:color w:val="000000"/>
        </w:rPr>
        <w:t xml:space="preserve"> </w:t>
      </w:r>
      <w:r>
        <w:rPr>
          <w:rFonts w:ascii="Calibri" w:cs="Calibri" w:eastAsia="Calibri" w:hAnsi="Calibri"/>
          <w:sz w:val="18"/>
          <w:szCs w:val="18"/>
          <w:color w:val="2D2B2D"/>
        </w:rPr>
        <w:t>can</w:t>
      </w:r>
      <w:r>
        <w:rPr>
          <w:rFonts w:ascii="Calibri" w:cs="Calibri" w:eastAsia="Calibri" w:hAnsi="Calibri"/>
          <w:sz w:val="18"/>
          <w:szCs w:val="18"/>
          <w:color w:val="000000"/>
        </w:rPr>
        <w:t xml:space="preserve"> </w:t>
      </w:r>
      <w:r>
        <w:rPr>
          <w:rFonts w:ascii="Calibri" w:cs="Calibri" w:eastAsia="Calibri" w:hAnsi="Calibri"/>
          <w:sz w:val="18"/>
          <w:szCs w:val="18"/>
          <w:color w:val="111111"/>
        </w:rPr>
        <w:t>also assist with any questons. Kim can be reached at</w:t>
      </w:r>
      <w:r>
        <w:rPr>
          <w:rFonts w:ascii="Calibri" w:cs="Calibri" w:eastAsia="Calibri" w:hAnsi="Calibri"/>
          <w:sz w:val="18"/>
          <w:szCs w:val="18"/>
          <w:color w:val="000000"/>
        </w:rPr>
        <w:t xml:space="preserve"> </w:t>
      </w:r>
      <w:r>
        <w:rPr>
          <w:rFonts w:ascii="Calibri" w:cs="Calibri" w:eastAsia="Calibri" w:hAnsi="Calibri"/>
          <w:sz w:val="18"/>
          <w:szCs w:val="18"/>
          <w:u w:val="single" w:color="auto"/>
          <w:color w:val="000000"/>
        </w:rPr>
        <w:t>kimberly.rehm@xylem.com</w:t>
      </w:r>
      <w:r>
        <w:rPr>
          <w:rFonts w:ascii="Calibri" w:cs="Calibri" w:eastAsia="Calibri" w:hAnsi="Calibri"/>
          <w:sz w:val="18"/>
          <w:szCs w:val="18"/>
          <w:color w:val="000000"/>
        </w:rPr>
        <w:t xml:space="preserve"> or 1</w:t>
      </w:r>
      <w:r>
        <w:rPr>
          <w:rFonts w:ascii="Calibri" w:cs="Calibri" w:eastAsia="Calibri" w:hAnsi="Calibri"/>
          <w:sz w:val="18"/>
          <w:szCs w:val="18"/>
          <w:color w:val="111111"/>
        </w:rPr>
        <w:t>-914- 323-5742.</w:t>
      </w:r>
    </w:p>
    <w:p>
      <w:pPr>
        <w:spacing w:after="0" w:line="79" w:lineRule="exact"/>
        <w:rPr>
          <w:sz w:val="20"/>
          <w:szCs w:val="20"/>
          <w:color w:val="auto"/>
        </w:rPr>
      </w:pPr>
    </w:p>
    <w:p>
      <w:pPr>
        <w:ind w:left="140"/>
        <w:spacing w:after="0"/>
        <w:rPr>
          <w:sz w:val="20"/>
          <w:szCs w:val="20"/>
          <w:color w:val="auto"/>
        </w:rPr>
      </w:pPr>
      <w:r>
        <w:rPr>
          <w:rFonts w:ascii="Calibri" w:cs="Calibri" w:eastAsia="Calibri" w:hAnsi="Calibri"/>
          <w:sz w:val="18"/>
          <w:szCs w:val="18"/>
          <w:b w:val="1"/>
          <w:bCs w:val="1"/>
          <w:u w:val="single" w:color="auto"/>
          <w:color w:val="111111"/>
        </w:rPr>
        <w:t>Paid Time Of (“PTO”)</w:t>
      </w:r>
    </w:p>
    <w:p>
      <w:pPr>
        <w:spacing w:after="0" w:line="109" w:lineRule="exact"/>
        <w:rPr>
          <w:sz w:val="20"/>
          <w:szCs w:val="20"/>
          <w:color w:val="auto"/>
        </w:rPr>
      </w:pPr>
    </w:p>
    <w:p>
      <w:pPr>
        <w:jc w:val="both"/>
        <w:ind w:left="140"/>
        <w:spacing w:after="0" w:line="248" w:lineRule="auto"/>
        <w:rPr>
          <w:sz w:val="20"/>
          <w:szCs w:val="20"/>
          <w:color w:val="auto"/>
        </w:rPr>
      </w:pPr>
      <w:r>
        <w:rPr>
          <w:rFonts w:ascii="Calibri" w:cs="Calibri" w:eastAsia="Calibri" w:hAnsi="Calibri"/>
          <w:sz w:val="18"/>
          <w:szCs w:val="18"/>
          <w:color w:val="111111"/>
        </w:rPr>
        <w:t>You will not accrue PTO during the Severance Period. In your fnal regular paycheck, you will be paid a lump sum for any unused but accrued PTO for 2022 as of your Terminaton Date. The PTO payout will not be impacted by any changes in the Company PTO policy that may occur afer the efectve date of this Memorandum and Agreement.</w:t>
      </w:r>
    </w:p>
    <w:p>
      <w:pPr>
        <w:spacing w:after="0" w:line="84" w:lineRule="exact"/>
        <w:rPr>
          <w:sz w:val="20"/>
          <w:szCs w:val="20"/>
          <w:color w:val="auto"/>
        </w:rPr>
      </w:pPr>
    </w:p>
    <w:p>
      <w:pPr>
        <w:ind w:left="140"/>
        <w:spacing w:after="0"/>
        <w:rPr>
          <w:sz w:val="20"/>
          <w:szCs w:val="20"/>
          <w:color w:val="auto"/>
        </w:rPr>
      </w:pPr>
      <w:r>
        <w:rPr>
          <w:rFonts w:ascii="Calibri" w:cs="Calibri" w:eastAsia="Calibri" w:hAnsi="Calibri"/>
          <w:sz w:val="18"/>
          <w:szCs w:val="18"/>
          <w:b w:val="1"/>
          <w:bCs w:val="1"/>
          <w:u w:val="single" w:color="auto"/>
          <w:color w:val="111111"/>
        </w:rPr>
        <w:t>Outplacement Services</w:t>
      </w:r>
    </w:p>
    <w:p>
      <w:pPr>
        <w:spacing w:after="0" w:line="96" w:lineRule="exact"/>
        <w:rPr>
          <w:sz w:val="20"/>
          <w:szCs w:val="20"/>
          <w:color w:val="auto"/>
        </w:rPr>
      </w:pPr>
    </w:p>
    <w:p>
      <w:pPr>
        <w:jc w:val="both"/>
        <w:ind w:left="140" w:right="20"/>
        <w:spacing w:after="0" w:line="235" w:lineRule="auto"/>
        <w:rPr>
          <w:sz w:val="20"/>
          <w:szCs w:val="20"/>
          <w:color w:val="auto"/>
        </w:rPr>
      </w:pPr>
      <w:r>
        <w:rPr>
          <w:rFonts w:ascii="Calibri" w:cs="Calibri" w:eastAsia="Calibri" w:hAnsi="Calibri"/>
          <w:sz w:val="18"/>
          <w:szCs w:val="18"/>
          <w:color w:val="111111"/>
        </w:rPr>
        <w:t>The Company will arrange for you to receive Outplacement Services through the ofces of Lee Hecht Harrison (“LHH”) for a period of 12 months, as per the terms of Xylem’s current agreement. We encourage you to engage these services as soon as possible in an efort to expedite your securing an alternate positon. Services must be initated no later than 90 days afer your Terminaton Date.</w:t>
      </w:r>
    </w:p>
    <w:p>
      <w:pPr>
        <w:spacing w:after="0" w:line="92" w:lineRule="exact"/>
        <w:rPr>
          <w:sz w:val="20"/>
          <w:szCs w:val="20"/>
          <w:color w:val="auto"/>
        </w:rPr>
      </w:pPr>
    </w:p>
    <w:p>
      <w:pPr>
        <w:ind w:left="140"/>
        <w:spacing w:after="0"/>
        <w:rPr>
          <w:sz w:val="20"/>
          <w:szCs w:val="20"/>
          <w:color w:val="auto"/>
        </w:rPr>
      </w:pPr>
      <w:r>
        <w:rPr>
          <w:rFonts w:ascii="Calibri" w:cs="Calibri" w:eastAsia="Calibri" w:hAnsi="Calibri"/>
          <w:sz w:val="18"/>
          <w:szCs w:val="18"/>
          <w:b w:val="1"/>
          <w:bCs w:val="1"/>
          <w:u w:val="single" w:color="auto"/>
          <w:color w:val="111111"/>
        </w:rPr>
        <w:t>Workday</w:t>
      </w:r>
    </w:p>
    <w:p>
      <w:pPr>
        <w:spacing w:after="0" w:line="82" w:lineRule="exact"/>
        <w:rPr>
          <w:sz w:val="20"/>
          <w:szCs w:val="20"/>
          <w:color w:val="auto"/>
        </w:rPr>
      </w:pPr>
    </w:p>
    <w:p>
      <w:pPr>
        <w:jc w:val="both"/>
        <w:ind w:left="140"/>
        <w:spacing w:after="0"/>
        <w:rPr>
          <w:sz w:val="20"/>
          <w:szCs w:val="20"/>
          <w:color w:val="auto"/>
        </w:rPr>
      </w:pPr>
      <w:r>
        <w:rPr>
          <w:rFonts w:ascii="Calibri" w:cs="Calibri" w:eastAsia="Calibri" w:hAnsi="Calibri"/>
          <w:sz w:val="18"/>
          <w:szCs w:val="18"/>
          <w:color w:val="111111"/>
        </w:rPr>
        <w:t xml:space="preserve">You will contnue to have access to the Workday Employee Self-Service Portal for 3 </w:t>
      </w:r>
      <w:r>
        <w:rPr>
          <w:rFonts w:ascii="Calibri" w:cs="Calibri" w:eastAsia="Calibri" w:hAnsi="Calibri"/>
          <w:sz w:val="18"/>
          <w:szCs w:val="18"/>
          <w:color w:val="2D2B2D"/>
        </w:rPr>
        <w:t>years</w:t>
      </w:r>
      <w:r>
        <w:rPr>
          <w:rFonts w:ascii="Calibri" w:cs="Calibri" w:eastAsia="Calibri" w:hAnsi="Calibri"/>
          <w:sz w:val="18"/>
          <w:szCs w:val="18"/>
          <w:color w:val="111111"/>
        </w:rPr>
        <w:t xml:space="preserve"> afer your Terminaton Date. You can access the portal a</w:t>
      </w:r>
      <w:r>
        <w:rPr>
          <w:rFonts w:ascii="Calibri" w:cs="Calibri" w:eastAsia="Calibri" w:hAnsi="Calibri"/>
          <w:sz w:val="18"/>
          <w:szCs w:val="18"/>
          <w:color w:val="000000"/>
        </w:rPr>
        <w:t>t</w:t>
      </w:r>
      <w:r>
        <w:rPr>
          <w:rFonts w:ascii="Calibri" w:cs="Calibri" w:eastAsia="Calibri" w:hAnsi="Calibri"/>
          <w:sz w:val="18"/>
          <w:szCs w:val="18"/>
          <w:color w:val="111111"/>
        </w:rPr>
        <w:t xml:space="preserve"> </w:t>
      </w:r>
      <w:r>
        <w:rPr>
          <w:rFonts w:ascii="Calibri" w:cs="Calibri" w:eastAsia="Calibri" w:hAnsi="Calibri"/>
          <w:sz w:val="18"/>
          <w:szCs w:val="18"/>
          <w:u w:val="single" w:color="auto"/>
          <w:color w:val="000000"/>
        </w:rPr>
        <w:t>htps://wd5.myworkday.com/wday/authgwy/xylem/login.htmld</w:t>
      </w:r>
      <w:r>
        <w:rPr>
          <w:rFonts w:ascii="Calibri" w:cs="Calibri" w:eastAsia="Calibri" w:hAnsi="Calibri"/>
          <w:sz w:val="18"/>
          <w:szCs w:val="18"/>
          <w:color w:val="000000"/>
        </w:rPr>
        <w:t xml:space="preserve">. </w:t>
      </w:r>
      <w:r>
        <w:rPr>
          <w:rFonts w:ascii="Calibri" w:cs="Calibri" w:eastAsia="Calibri" w:hAnsi="Calibri"/>
          <w:sz w:val="18"/>
          <w:szCs w:val="18"/>
          <w:color w:val="111111"/>
        </w:rPr>
        <w:t>We encourage you to update your address, as necessary, so that important documents</w:t>
      </w:r>
      <w:r>
        <w:rPr>
          <w:rFonts w:ascii="Calibri" w:cs="Calibri" w:eastAsia="Calibri" w:hAnsi="Calibri"/>
          <w:sz w:val="18"/>
          <w:szCs w:val="18"/>
          <w:color w:val="3D3B3D"/>
        </w:rPr>
        <w:t>,</w:t>
      </w:r>
      <w:r>
        <w:rPr>
          <w:rFonts w:ascii="Calibri" w:cs="Calibri" w:eastAsia="Calibri" w:hAnsi="Calibri"/>
          <w:sz w:val="18"/>
          <w:szCs w:val="18"/>
          <w:color w:val="000000"/>
        </w:rPr>
        <w:t xml:space="preserve"> </w:t>
      </w:r>
      <w:r>
        <w:rPr>
          <w:rFonts w:ascii="Calibri" w:cs="Calibri" w:eastAsia="Calibri" w:hAnsi="Calibri"/>
          <w:sz w:val="18"/>
          <w:szCs w:val="18"/>
          <w:color w:val="3D3B3D"/>
        </w:rPr>
        <w:t>i</w:t>
      </w:r>
      <w:r>
        <w:rPr>
          <w:rFonts w:ascii="Calibri" w:cs="Calibri" w:eastAsia="Calibri" w:hAnsi="Calibri"/>
          <w:sz w:val="18"/>
          <w:szCs w:val="18"/>
          <w:color w:val="111111"/>
        </w:rPr>
        <w:t>ncluding year-end W-2 forms, are sent to the correct address in the future.</w:t>
      </w:r>
    </w:p>
    <w:p>
      <w:pPr>
        <w:spacing w:after="0" w:line="106" w:lineRule="exact"/>
        <w:rPr>
          <w:sz w:val="20"/>
          <w:szCs w:val="20"/>
          <w:color w:val="auto"/>
        </w:rPr>
      </w:pPr>
    </w:p>
    <w:p>
      <w:pPr>
        <w:ind w:left="140"/>
        <w:spacing w:after="0"/>
        <w:rPr>
          <w:sz w:val="20"/>
          <w:szCs w:val="20"/>
          <w:color w:val="auto"/>
        </w:rPr>
      </w:pPr>
      <w:r>
        <w:rPr>
          <w:rFonts w:ascii="Calibri" w:cs="Calibri" w:eastAsia="Calibri" w:hAnsi="Calibri"/>
          <w:sz w:val="18"/>
          <w:szCs w:val="18"/>
          <w:b w:val="1"/>
          <w:bCs w:val="1"/>
          <w:u w:val="single" w:color="auto"/>
          <w:color w:val="111111"/>
        </w:rPr>
        <w:t>Beneft Plans</w:t>
      </w:r>
    </w:p>
    <w:p>
      <w:pPr>
        <w:spacing w:after="0" w:line="82" w:lineRule="exact"/>
        <w:rPr>
          <w:sz w:val="20"/>
          <w:szCs w:val="20"/>
          <w:color w:val="auto"/>
        </w:rPr>
      </w:pPr>
    </w:p>
    <w:p>
      <w:pPr>
        <w:jc w:val="both"/>
        <w:ind w:left="140"/>
        <w:spacing w:after="0" w:line="239" w:lineRule="auto"/>
        <w:rPr>
          <w:sz w:val="20"/>
          <w:szCs w:val="20"/>
          <w:color w:val="auto"/>
        </w:rPr>
      </w:pPr>
      <w:r>
        <w:rPr>
          <w:rFonts w:ascii="Calibri" w:cs="Calibri" w:eastAsia="Calibri" w:hAnsi="Calibri"/>
          <w:sz w:val="18"/>
          <w:szCs w:val="18"/>
          <w:b w:val="1"/>
          <w:bCs w:val="1"/>
          <w:color w:val="111111"/>
        </w:rPr>
        <w:t xml:space="preserve">Beneft Plan Eligibility </w:t>
      </w:r>
      <w:r>
        <w:rPr>
          <w:rFonts w:ascii="Calibri" w:cs="Calibri" w:eastAsia="Calibri" w:hAnsi="Calibri"/>
          <w:sz w:val="18"/>
          <w:szCs w:val="18"/>
          <w:color w:val="2D2B2D"/>
        </w:rPr>
        <w:t>–</w:t>
      </w:r>
      <w:r>
        <w:rPr>
          <w:rFonts w:ascii="Calibri" w:cs="Calibri" w:eastAsia="Calibri" w:hAnsi="Calibri"/>
          <w:sz w:val="18"/>
          <w:szCs w:val="18"/>
          <w:b w:val="1"/>
          <w:bCs w:val="1"/>
          <w:color w:val="111111"/>
        </w:rPr>
        <w:t xml:space="preserve"> </w:t>
      </w:r>
      <w:r>
        <w:rPr>
          <w:rFonts w:ascii="Calibri" w:cs="Calibri" w:eastAsia="Calibri" w:hAnsi="Calibri"/>
          <w:sz w:val="18"/>
          <w:szCs w:val="18"/>
          <w:color w:val="111111"/>
        </w:rPr>
        <w:t>Your eligibility for</w:t>
      </w:r>
      <w:r>
        <w:rPr>
          <w:rFonts w:ascii="Calibri" w:cs="Calibri" w:eastAsia="Calibri" w:hAnsi="Calibri"/>
          <w:sz w:val="18"/>
          <w:szCs w:val="18"/>
          <w:b w:val="1"/>
          <w:bCs w:val="1"/>
          <w:color w:val="111111"/>
        </w:rPr>
        <w:t xml:space="preserve"> </w:t>
      </w:r>
      <w:r>
        <w:rPr>
          <w:rFonts w:ascii="Calibri" w:cs="Calibri" w:eastAsia="Calibri" w:hAnsi="Calibri"/>
          <w:sz w:val="18"/>
          <w:szCs w:val="18"/>
          <w:color w:val="2D2B2D"/>
        </w:rPr>
        <w:t>certain</w:t>
      </w:r>
      <w:r>
        <w:rPr>
          <w:rFonts w:ascii="Calibri" w:cs="Calibri" w:eastAsia="Calibri" w:hAnsi="Calibri"/>
          <w:sz w:val="18"/>
          <w:szCs w:val="18"/>
          <w:b w:val="1"/>
          <w:bCs w:val="1"/>
          <w:color w:val="111111"/>
        </w:rPr>
        <w:t xml:space="preserve"> </w:t>
      </w:r>
      <w:r>
        <w:rPr>
          <w:rFonts w:ascii="Calibri" w:cs="Calibri" w:eastAsia="Calibri" w:hAnsi="Calibri"/>
          <w:sz w:val="18"/>
          <w:szCs w:val="18"/>
          <w:color w:val="111111"/>
        </w:rPr>
        <w:t>employee beneft plans outlined in subsequent paragraphs of this Memorandum is</w:t>
      </w:r>
      <w:r>
        <w:rPr>
          <w:rFonts w:ascii="Calibri" w:cs="Calibri" w:eastAsia="Calibri" w:hAnsi="Calibri"/>
          <w:sz w:val="18"/>
          <w:szCs w:val="18"/>
          <w:b w:val="1"/>
          <w:bCs w:val="1"/>
          <w:color w:val="111111"/>
        </w:rPr>
        <w:t xml:space="preserve"> </w:t>
      </w:r>
      <w:r>
        <w:rPr>
          <w:rFonts w:ascii="Calibri" w:cs="Calibri" w:eastAsia="Calibri" w:hAnsi="Calibri"/>
          <w:sz w:val="18"/>
          <w:szCs w:val="18"/>
          <w:color w:val="2D2B2D"/>
        </w:rPr>
        <w:t>subject</w:t>
      </w:r>
      <w:r>
        <w:rPr>
          <w:rFonts w:ascii="Calibri" w:cs="Calibri" w:eastAsia="Calibri" w:hAnsi="Calibri"/>
          <w:sz w:val="18"/>
          <w:szCs w:val="18"/>
          <w:b w:val="1"/>
          <w:bCs w:val="1"/>
          <w:color w:val="111111"/>
        </w:rPr>
        <w:t xml:space="preserve"> </w:t>
      </w:r>
      <w:r>
        <w:rPr>
          <w:rFonts w:ascii="Calibri" w:cs="Calibri" w:eastAsia="Calibri" w:hAnsi="Calibri"/>
          <w:sz w:val="18"/>
          <w:szCs w:val="18"/>
          <w:color w:val="111111"/>
        </w:rPr>
        <w:t>to the actual</w:t>
      </w:r>
      <w:r>
        <w:rPr>
          <w:rFonts w:ascii="Calibri" w:cs="Calibri" w:eastAsia="Calibri" w:hAnsi="Calibri"/>
          <w:sz w:val="18"/>
          <w:szCs w:val="18"/>
          <w:b w:val="1"/>
          <w:bCs w:val="1"/>
          <w:color w:val="111111"/>
        </w:rPr>
        <w:t xml:space="preserve"> </w:t>
      </w:r>
      <w:r>
        <w:rPr>
          <w:rFonts w:ascii="Calibri" w:cs="Calibri" w:eastAsia="Calibri" w:hAnsi="Calibri"/>
          <w:sz w:val="18"/>
          <w:szCs w:val="18"/>
          <w:color w:val="111111"/>
        </w:rPr>
        <w:t xml:space="preserve">terms of the applicable plan documents. You will not be enttled to any benefts or perquisites beyond those specifcally described in this Memorandum. In the event of revisions to any or all of the subject beneft plans, your </w:t>
      </w:r>
      <w:r>
        <w:rPr>
          <w:rFonts w:ascii="Calibri" w:cs="Calibri" w:eastAsia="Calibri" w:hAnsi="Calibri"/>
          <w:sz w:val="18"/>
          <w:szCs w:val="18"/>
          <w:color w:val="3D3B3D"/>
        </w:rPr>
        <w:t>b</w:t>
      </w:r>
      <w:r>
        <w:rPr>
          <w:rFonts w:ascii="Calibri" w:cs="Calibri" w:eastAsia="Calibri" w:hAnsi="Calibri"/>
          <w:sz w:val="18"/>
          <w:szCs w:val="18"/>
          <w:color w:val="111111"/>
        </w:rPr>
        <w:t xml:space="preserve">enefts will not be diminished except in accordance </w:t>
      </w:r>
      <w:r>
        <w:rPr>
          <w:rFonts w:ascii="Calibri" w:cs="Calibri" w:eastAsia="Calibri" w:hAnsi="Calibri"/>
          <w:sz w:val="18"/>
          <w:szCs w:val="18"/>
          <w:color w:val="2D2B2D"/>
        </w:rPr>
        <w:t>with</w:t>
      </w:r>
      <w:r>
        <w:rPr>
          <w:rFonts w:ascii="Calibri" w:cs="Calibri" w:eastAsia="Calibri" w:hAnsi="Calibri"/>
          <w:sz w:val="18"/>
          <w:szCs w:val="18"/>
          <w:color w:val="111111"/>
        </w:rPr>
        <w:t xml:space="preserve"> the changes that </w:t>
      </w:r>
      <w:r>
        <w:rPr>
          <w:rFonts w:ascii="Calibri" w:cs="Calibri" w:eastAsia="Calibri" w:hAnsi="Calibri"/>
          <w:sz w:val="18"/>
          <w:szCs w:val="18"/>
          <w:color w:val="2D2B2D"/>
        </w:rPr>
        <w:t>are</w:t>
      </w:r>
      <w:r>
        <w:rPr>
          <w:rFonts w:ascii="Calibri" w:cs="Calibri" w:eastAsia="Calibri" w:hAnsi="Calibri"/>
          <w:sz w:val="18"/>
          <w:szCs w:val="18"/>
          <w:color w:val="111111"/>
        </w:rPr>
        <w:t xml:space="preserve"> generally applicable to all similarly-situated beneft plan partcipants.</w:t>
      </w:r>
    </w:p>
    <w:p>
      <w:pPr>
        <w:spacing w:after="0" w:line="110" w:lineRule="exact"/>
        <w:rPr>
          <w:sz w:val="20"/>
          <w:szCs w:val="20"/>
          <w:color w:val="auto"/>
        </w:rPr>
      </w:pPr>
    </w:p>
    <w:p>
      <w:pPr>
        <w:jc w:val="both"/>
        <w:ind w:left="460" w:right="20" w:hanging="189"/>
        <w:spacing w:after="0" w:line="245" w:lineRule="auto"/>
        <w:rPr>
          <w:sz w:val="20"/>
          <w:szCs w:val="20"/>
          <w:color w:val="auto"/>
        </w:rPr>
      </w:pPr>
      <w:r>
        <w:rPr>
          <w:rFonts w:ascii="Calibri" w:cs="Calibri" w:eastAsia="Calibri" w:hAnsi="Calibri"/>
          <w:sz w:val="18"/>
          <w:szCs w:val="18"/>
          <w:b w:val="1"/>
          <w:bCs w:val="1"/>
          <w:color w:val="111111"/>
        </w:rPr>
        <w:t xml:space="preserve">Xylem Retrement Savings Plan (“RSP”) </w:t>
      </w:r>
      <w:r>
        <w:rPr>
          <w:rFonts w:ascii="Calibri" w:cs="Calibri" w:eastAsia="Calibri" w:hAnsi="Calibri"/>
          <w:sz w:val="18"/>
          <w:szCs w:val="18"/>
          <w:color w:val="111111"/>
        </w:rPr>
        <w:t>– Your contributons and</w:t>
      </w:r>
      <w:r>
        <w:rPr>
          <w:rFonts w:ascii="Calibri" w:cs="Calibri" w:eastAsia="Calibri" w:hAnsi="Calibri"/>
          <w:sz w:val="18"/>
          <w:szCs w:val="18"/>
          <w:b w:val="1"/>
          <w:bCs w:val="1"/>
          <w:color w:val="111111"/>
        </w:rPr>
        <w:t xml:space="preserve"> </w:t>
      </w:r>
      <w:r>
        <w:rPr>
          <w:rFonts w:ascii="Calibri" w:cs="Calibri" w:eastAsia="Calibri" w:hAnsi="Calibri"/>
          <w:sz w:val="18"/>
          <w:szCs w:val="18"/>
          <w:color w:val="3D3B3D"/>
        </w:rPr>
        <w:t>C</w:t>
      </w:r>
      <w:r>
        <w:rPr>
          <w:rFonts w:ascii="Calibri" w:cs="Calibri" w:eastAsia="Calibri" w:hAnsi="Calibri"/>
          <w:sz w:val="18"/>
          <w:szCs w:val="18"/>
          <w:color w:val="111111"/>
        </w:rPr>
        <w:t>ompany matching and core contributons to the RSP</w:t>
      </w:r>
      <w:r>
        <w:rPr>
          <w:rFonts w:ascii="Calibri" w:cs="Calibri" w:eastAsia="Calibri" w:hAnsi="Calibri"/>
          <w:sz w:val="18"/>
          <w:szCs w:val="18"/>
          <w:b w:val="1"/>
          <w:bCs w:val="1"/>
          <w:color w:val="111111"/>
        </w:rPr>
        <w:t xml:space="preserve"> </w:t>
      </w:r>
      <w:r>
        <w:rPr>
          <w:rFonts w:ascii="Calibri" w:cs="Calibri" w:eastAsia="Calibri" w:hAnsi="Calibri"/>
          <w:sz w:val="18"/>
          <w:szCs w:val="18"/>
          <w:color w:val="2D2B2D"/>
        </w:rPr>
        <w:t>will</w:t>
      </w:r>
      <w:r>
        <w:rPr>
          <w:rFonts w:ascii="Calibri" w:cs="Calibri" w:eastAsia="Calibri" w:hAnsi="Calibri"/>
          <w:sz w:val="18"/>
          <w:szCs w:val="18"/>
          <w:b w:val="1"/>
          <w:bCs w:val="1"/>
          <w:color w:val="111111"/>
        </w:rPr>
        <w:t xml:space="preserve"> </w:t>
      </w:r>
      <w:r>
        <w:rPr>
          <w:rFonts w:ascii="Calibri" w:cs="Calibri" w:eastAsia="Calibri" w:hAnsi="Calibri"/>
          <w:sz w:val="18"/>
          <w:szCs w:val="18"/>
          <w:color w:val="111111"/>
        </w:rPr>
        <w:t>cease as of your Terminaton</w:t>
      </w:r>
      <w:r>
        <w:rPr>
          <w:rFonts w:ascii="Calibri" w:cs="Calibri" w:eastAsia="Calibri" w:hAnsi="Calibri"/>
          <w:sz w:val="18"/>
          <w:szCs w:val="18"/>
          <w:b w:val="1"/>
          <w:bCs w:val="1"/>
          <w:color w:val="111111"/>
        </w:rPr>
        <w:t xml:space="preserve"> </w:t>
      </w:r>
      <w:r>
        <w:rPr>
          <w:rFonts w:ascii="Calibri" w:cs="Calibri" w:eastAsia="Calibri" w:hAnsi="Calibri"/>
          <w:sz w:val="18"/>
          <w:szCs w:val="18"/>
          <w:color w:val="111111"/>
        </w:rPr>
        <w:t>Date. Please contact Fidelity at 1</w:t>
      </w:r>
      <w:r>
        <w:rPr>
          <w:rFonts w:ascii="Calibri" w:cs="Calibri" w:eastAsia="Calibri" w:hAnsi="Calibri"/>
          <w:sz w:val="18"/>
          <w:szCs w:val="18"/>
          <w:color w:val="3D3B3D"/>
        </w:rPr>
        <w:t>-</w:t>
      </w:r>
      <w:r>
        <w:rPr>
          <w:rFonts w:ascii="Calibri" w:cs="Calibri" w:eastAsia="Calibri" w:hAnsi="Calibri"/>
          <w:sz w:val="18"/>
          <w:szCs w:val="18"/>
          <w:color w:val="111111"/>
        </w:rPr>
        <w:t>800</w:t>
      </w:r>
      <w:r>
        <w:rPr>
          <w:rFonts w:ascii="Calibri" w:cs="Calibri" w:eastAsia="Calibri" w:hAnsi="Calibri"/>
          <w:sz w:val="18"/>
          <w:szCs w:val="18"/>
          <w:color w:val="3D3B3D"/>
        </w:rPr>
        <w:t>-</w:t>
      </w:r>
      <w:r>
        <w:rPr>
          <w:rFonts w:ascii="Calibri" w:cs="Calibri" w:eastAsia="Calibri" w:hAnsi="Calibri"/>
          <w:sz w:val="18"/>
          <w:szCs w:val="18"/>
          <w:color w:val="111111"/>
        </w:rPr>
        <w:t>835</w:t>
      </w:r>
      <w:r>
        <w:rPr>
          <w:rFonts w:ascii="Calibri" w:cs="Calibri" w:eastAsia="Calibri" w:hAnsi="Calibri"/>
          <w:sz w:val="18"/>
          <w:szCs w:val="18"/>
          <w:color w:val="57595B"/>
        </w:rPr>
        <w:t>-</w:t>
      </w:r>
      <w:r>
        <w:rPr>
          <w:rFonts w:ascii="Calibri" w:cs="Calibri" w:eastAsia="Calibri" w:hAnsi="Calibri"/>
          <w:sz w:val="18"/>
          <w:szCs w:val="18"/>
          <w:color w:val="111111"/>
        </w:rPr>
        <w:t xml:space="preserve">5095 or online at </w:t>
      </w:r>
      <w:r>
        <w:rPr>
          <w:rFonts w:ascii="Calibri" w:cs="Calibri" w:eastAsia="Calibri" w:hAnsi="Calibri"/>
          <w:sz w:val="18"/>
          <w:szCs w:val="18"/>
          <w:u w:val="single" w:color="auto"/>
          <w:color w:val="000000"/>
        </w:rPr>
        <w:t>www.netbenefts.com</w:t>
      </w:r>
      <w:r>
        <w:rPr>
          <w:rFonts w:ascii="Calibri" w:cs="Calibri" w:eastAsia="Calibri" w:hAnsi="Calibri"/>
          <w:sz w:val="18"/>
          <w:szCs w:val="18"/>
          <w:color w:val="111111"/>
        </w:rPr>
        <w:t xml:space="preserve"> </w:t>
      </w:r>
      <w:r>
        <w:rPr>
          <w:rFonts w:ascii="Calibri" w:cs="Calibri" w:eastAsia="Calibri" w:hAnsi="Calibri"/>
          <w:sz w:val="18"/>
          <w:szCs w:val="18"/>
          <w:color w:val="000000"/>
        </w:rPr>
        <w:t>t</w:t>
      </w:r>
      <w:r>
        <w:rPr>
          <w:rFonts w:ascii="Calibri" w:cs="Calibri" w:eastAsia="Calibri" w:hAnsi="Calibri"/>
          <w:sz w:val="18"/>
          <w:szCs w:val="18"/>
          <w:color w:val="111111"/>
        </w:rPr>
        <w:t xml:space="preserve">o </w:t>
      </w:r>
      <w:r>
        <w:rPr>
          <w:rFonts w:ascii="Calibri" w:cs="Calibri" w:eastAsia="Calibri" w:hAnsi="Calibri"/>
          <w:sz w:val="18"/>
          <w:szCs w:val="18"/>
          <w:color w:val="2D2B2D"/>
        </w:rPr>
        <w:t>review</w:t>
      </w:r>
      <w:r>
        <w:rPr>
          <w:rFonts w:ascii="Calibri" w:cs="Calibri" w:eastAsia="Calibri" w:hAnsi="Calibri"/>
          <w:sz w:val="18"/>
          <w:szCs w:val="18"/>
          <w:color w:val="111111"/>
        </w:rPr>
        <w:t xml:space="preserve"> your distributon optons.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-21590</wp:posOffset>
            </wp:positionV>
            <wp:extent cx="254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85" w:lineRule="exact"/>
        <w:rPr>
          <w:sz w:val="20"/>
          <w:szCs w:val="20"/>
          <w:color w:val="auto"/>
        </w:rPr>
      </w:pPr>
    </w:p>
    <w:p>
      <w:pPr>
        <w:jc w:val="both"/>
        <w:ind w:left="460" w:hanging="188"/>
        <w:spacing w:after="0" w:line="239" w:lineRule="auto"/>
        <w:rPr>
          <w:sz w:val="20"/>
          <w:szCs w:val="20"/>
          <w:color w:val="auto"/>
        </w:rPr>
      </w:pPr>
      <w:r>
        <w:rPr>
          <w:rFonts w:ascii="Calibri" w:cs="Calibri" w:eastAsia="Calibri" w:hAnsi="Calibri"/>
          <w:sz w:val="18"/>
          <w:szCs w:val="18"/>
          <w:b w:val="1"/>
          <w:bCs w:val="1"/>
          <w:color w:val="111111"/>
        </w:rPr>
        <w:t xml:space="preserve">Xylem Supplemental Retrement Savings Plan (“SRSP”) </w:t>
      </w:r>
      <w:r>
        <w:rPr>
          <w:rFonts w:ascii="Calibri" w:cs="Calibri" w:eastAsia="Calibri" w:hAnsi="Calibri"/>
          <w:sz w:val="18"/>
          <w:szCs w:val="18"/>
          <w:color w:val="111111"/>
        </w:rPr>
        <w:t>– Company contributons will cease as of your Terminaton Date. The balance will be</w:t>
      </w:r>
      <w:r>
        <w:rPr>
          <w:rFonts w:ascii="Calibri" w:cs="Calibri" w:eastAsia="Calibri" w:hAnsi="Calibri"/>
          <w:sz w:val="18"/>
          <w:szCs w:val="18"/>
          <w:b w:val="1"/>
          <w:bCs w:val="1"/>
          <w:color w:val="111111"/>
        </w:rPr>
        <w:t xml:space="preserve"> </w:t>
      </w:r>
      <w:r>
        <w:rPr>
          <w:rFonts w:ascii="Calibri" w:cs="Calibri" w:eastAsia="Calibri" w:hAnsi="Calibri"/>
          <w:sz w:val="18"/>
          <w:szCs w:val="18"/>
          <w:color w:val="111111"/>
        </w:rPr>
        <w:t>automatcally disbursed on the frst business day of the month following six (6) months from your Terminaton Date and will be paid to you on the next regular payroll date, subject to applicable tax withholding. The balance is not rollover-eligible. The disbursement will be included as ordinary income on your Form W-2 from Xylem.</w:t>
      </w:r>
    </w:p>
    <w:p>
      <w:pPr>
        <w:spacing w:after="0" w:line="110" w:lineRule="exact"/>
        <w:rPr>
          <w:sz w:val="20"/>
          <w:szCs w:val="20"/>
          <w:color w:val="auto"/>
        </w:rPr>
      </w:pPr>
    </w:p>
    <w:p>
      <w:pPr>
        <w:jc w:val="both"/>
        <w:ind w:left="460" w:right="20" w:hanging="188"/>
        <w:spacing w:after="0"/>
        <w:rPr>
          <w:sz w:val="20"/>
          <w:szCs w:val="20"/>
          <w:color w:val="auto"/>
        </w:rPr>
      </w:pPr>
      <w:r>
        <w:rPr>
          <w:rFonts w:ascii="Calibri" w:cs="Calibri" w:eastAsia="Calibri" w:hAnsi="Calibri"/>
          <w:sz w:val="18"/>
          <w:szCs w:val="18"/>
          <w:b w:val="1"/>
          <w:bCs w:val="1"/>
          <w:color w:val="111111"/>
        </w:rPr>
        <w:t xml:space="preserve">Medical, Dental and Vision Plans </w:t>
      </w:r>
      <w:r>
        <w:rPr>
          <w:rFonts w:ascii="Calibri" w:cs="Calibri" w:eastAsia="Calibri" w:hAnsi="Calibri"/>
          <w:sz w:val="18"/>
          <w:szCs w:val="18"/>
          <w:color w:val="111111"/>
        </w:rPr>
        <w:t>– You are elig</w:t>
      </w:r>
      <w:r>
        <w:rPr>
          <w:rFonts w:ascii="Calibri" w:cs="Calibri" w:eastAsia="Calibri" w:hAnsi="Calibri"/>
          <w:sz w:val="18"/>
          <w:szCs w:val="18"/>
          <w:color w:val="3D3B3D"/>
        </w:rPr>
        <w:t>i</w:t>
      </w:r>
      <w:r>
        <w:rPr>
          <w:rFonts w:ascii="Calibri" w:cs="Calibri" w:eastAsia="Calibri" w:hAnsi="Calibri"/>
          <w:sz w:val="18"/>
          <w:szCs w:val="18"/>
          <w:color w:val="111111"/>
        </w:rPr>
        <w:t>ble to contnue cove</w:t>
      </w:r>
      <w:r>
        <w:rPr>
          <w:rFonts w:ascii="Calibri" w:cs="Calibri" w:eastAsia="Calibri" w:hAnsi="Calibri"/>
          <w:sz w:val="18"/>
          <w:szCs w:val="18"/>
          <w:color w:val="3D3B3D"/>
        </w:rPr>
        <w:t>r</w:t>
      </w:r>
      <w:r>
        <w:rPr>
          <w:rFonts w:ascii="Calibri" w:cs="Calibri" w:eastAsia="Calibri" w:hAnsi="Calibri"/>
          <w:sz w:val="18"/>
          <w:szCs w:val="18"/>
          <w:color w:val="111111"/>
        </w:rPr>
        <w:t>age under the same terms as an actve employee through the last day of the month</w:t>
      </w:r>
      <w:r>
        <w:rPr>
          <w:rFonts w:ascii="Calibri" w:cs="Calibri" w:eastAsia="Calibri" w:hAnsi="Calibri"/>
          <w:sz w:val="18"/>
          <w:szCs w:val="18"/>
          <w:b w:val="1"/>
          <w:bCs w:val="1"/>
          <w:color w:val="111111"/>
        </w:rPr>
        <w:t xml:space="preserve"> </w:t>
      </w:r>
      <w:r>
        <w:rPr>
          <w:rFonts w:ascii="Calibri" w:cs="Calibri" w:eastAsia="Calibri" w:hAnsi="Calibri"/>
          <w:sz w:val="18"/>
          <w:szCs w:val="18"/>
          <w:color w:val="111111"/>
        </w:rPr>
        <w:t xml:space="preserve">in which your Severance End Date </w:t>
      </w:r>
      <w:r>
        <w:rPr>
          <w:rFonts w:ascii="Calibri" w:cs="Calibri" w:eastAsia="Calibri" w:hAnsi="Calibri"/>
          <w:sz w:val="18"/>
          <w:szCs w:val="18"/>
          <w:color w:val="0E0E0E"/>
        </w:rPr>
        <w:t>occurs, as long as all terms and conditons of the Agreement and Release have been met. Premium contributons</w:t>
      </w:r>
      <w:r>
        <w:rPr>
          <w:rFonts w:ascii="Calibri" w:cs="Calibri" w:eastAsia="Calibri" w:hAnsi="Calibri"/>
          <w:sz w:val="18"/>
          <w:szCs w:val="18"/>
          <w:color w:val="111111"/>
        </w:rPr>
        <w:t xml:space="preserve"> </w:t>
      </w:r>
      <w:r>
        <w:rPr>
          <w:rFonts w:ascii="Calibri" w:cs="Calibri" w:eastAsia="Calibri" w:hAnsi="Calibri"/>
          <w:sz w:val="18"/>
          <w:szCs w:val="18"/>
          <w:color w:val="0E0E0E"/>
        </w:rPr>
        <w:t>will be deducted from your Severance Payments.</w:t>
      </w:r>
    </w:p>
    <w:p>
      <w:pPr>
        <w:spacing w:after="0" w:line="110" w:lineRule="exact"/>
        <w:rPr>
          <w:sz w:val="20"/>
          <w:szCs w:val="20"/>
          <w:color w:val="auto"/>
        </w:rPr>
      </w:pPr>
    </w:p>
    <w:p>
      <w:pPr>
        <w:jc w:val="both"/>
        <w:ind w:left="460"/>
        <w:spacing w:after="0" w:line="239" w:lineRule="auto"/>
        <w:rPr>
          <w:sz w:val="20"/>
          <w:szCs w:val="20"/>
          <w:color w:val="auto"/>
        </w:rPr>
      </w:pPr>
      <w:r>
        <w:rPr>
          <w:rFonts w:ascii="Calibri" w:cs="Calibri" w:eastAsia="Calibri" w:hAnsi="Calibri"/>
          <w:sz w:val="18"/>
          <w:szCs w:val="18"/>
          <w:color w:val="0E0E0E"/>
        </w:rPr>
        <w:t>Afer the Severance End Date, you may elect to contnue coverage under the Consolidated Omnibus Budget Reconciliaton Act (“COBRA”)</w:t>
      </w:r>
      <w:r>
        <w:rPr>
          <w:rFonts w:ascii="Calibri" w:cs="Calibri" w:eastAsia="Calibri" w:hAnsi="Calibri"/>
          <w:sz w:val="18"/>
          <w:szCs w:val="18"/>
          <w:color w:val="4E4E4E"/>
        </w:rPr>
        <w:t>.</w:t>
      </w:r>
      <w:r>
        <w:rPr>
          <w:rFonts w:ascii="Calibri" w:cs="Calibri" w:eastAsia="Calibri" w:hAnsi="Calibri"/>
          <w:sz w:val="18"/>
          <w:szCs w:val="18"/>
          <w:color w:val="0E0E0E"/>
        </w:rPr>
        <w:t xml:space="preserve"> Within 45 days of the coverage terminaton date, you will receive COBRA Electon paperwork directly from PayFlex, our COBRA administrator. If you wish to contnue your coverage, please complete the COBRA Enrollment Form and return it to PayFlex within the tmeframe indicated in the leter you will receive.</w:t>
      </w:r>
    </w:p>
    <w:p>
      <w:pPr>
        <w:spacing w:after="0" w:line="124" w:lineRule="exact"/>
        <w:rPr>
          <w:sz w:val="20"/>
          <w:szCs w:val="20"/>
          <w:color w:val="auto"/>
        </w:rPr>
      </w:pPr>
    </w:p>
    <w:p>
      <w:pPr>
        <w:jc w:val="both"/>
        <w:ind w:left="460" w:right="20"/>
        <w:spacing w:after="0" w:line="235" w:lineRule="auto"/>
        <w:rPr>
          <w:sz w:val="20"/>
          <w:szCs w:val="20"/>
          <w:color w:val="auto"/>
        </w:rPr>
      </w:pPr>
      <w:r>
        <w:rPr>
          <w:rFonts w:ascii="Calibri" w:cs="Calibri" w:eastAsia="Calibri" w:hAnsi="Calibri"/>
          <w:sz w:val="18"/>
          <w:szCs w:val="18"/>
          <w:color w:val="0E0E0E"/>
        </w:rPr>
        <w:t>To contnue coverage under COBRA, you will be required to make monthly payments to our COBRA Administrator. Should you want to contact PayFlex regarding COBRA, the number is 844-PAYFLEX.</w:t>
      </w:r>
    </w:p>
    <w:p>
      <w:pPr>
        <w:spacing w:after="0" w:line="91"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color w:val="0E0E0E"/>
        </w:rPr>
        <w:t xml:space="preserve">Group Life Insurance Conversion </w:t>
      </w:r>
      <w:r>
        <w:rPr>
          <w:rFonts w:ascii="Calibri" w:cs="Calibri" w:eastAsia="Calibri" w:hAnsi="Calibri"/>
          <w:sz w:val="18"/>
          <w:szCs w:val="18"/>
          <w:color w:val="0E0E0E"/>
        </w:rPr>
        <w:t>– Your Company-paid Group Life Insurance coverage terminates on your</w:t>
      </w:r>
    </w:p>
    <w:p>
      <w:pPr>
        <w:sectPr>
          <w:pgSz w:w="11900" w:h="16838" w:orient="portrait"/>
          <w:cols w:equalWidth="0" w:num="1">
            <w:col w:w="11140"/>
          </w:cols>
          <w:pgMar w:left="320" w:top="153" w:right="439" w:bottom="1440" w:gutter="0" w:footer="0" w:header="0"/>
        </w:sectPr>
      </w:pPr>
    </w:p>
    <w:bookmarkStart w:id="70" w:name="page71"/>
    <w:bookmarkEnd w:id="70"/>
    <w:p>
      <w:pPr>
        <w:ind w:left="40"/>
        <w:spacing w:after="0"/>
        <w:rPr>
          <w:sz w:val="20"/>
          <w:szCs w:val="20"/>
          <w:color w:val="auto"/>
        </w:rPr>
      </w:pPr>
      <w:r>
        <w:rPr>
          <w:rFonts w:ascii="Calibri" w:cs="Calibri" w:eastAsia="Calibri" w:hAnsi="Calibri"/>
          <w:sz w:val="18"/>
          <w:szCs w:val="18"/>
          <w:b w:val="1"/>
          <w:bCs w:val="1"/>
          <w:u w:val="single" w:color="auto"/>
          <w:color w:val="auto"/>
        </w:rPr>
        <w:t>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460"/>
        <w:spacing w:after="0"/>
        <w:rPr>
          <w:sz w:val="20"/>
          <w:szCs w:val="20"/>
          <w:color w:val="auto"/>
        </w:rPr>
      </w:pPr>
      <w:r>
        <w:rPr>
          <w:rFonts w:ascii="Calibri" w:cs="Calibri" w:eastAsia="Calibri" w:hAnsi="Calibri"/>
          <w:sz w:val="18"/>
          <w:szCs w:val="18"/>
          <w:color w:val="0E0E0E"/>
        </w:rPr>
        <w:t>Severance End Date. However, you may elect to convert this life insurance coverage to an individual policy issued by The Hartord. If you are interested in convertng your policy, please contact Shan Jarvis on/about 45 days prior to the Severance End Date so that her team can provide you the conversion detai</w:t>
      </w:r>
      <w:r>
        <w:rPr>
          <w:rFonts w:ascii="Calibri" w:cs="Calibri" w:eastAsia="Calibri" w:hAnsi="Calibri"/>
          <w:sz w:val="18"/>
          <w:szCs w:val="18"/>
          <w:color w:val="353535"/>
        </w:rPr>
        <w:t>l</w:t>
      </w:r>
      <w:r>
        <w:rPr>
          <w:rFonts w:ascii="Calibri" w:cs="Calibri" w:eastAsia="Calibri" w:hAnsi="Calibri"/>
          <w:sz w:val="18"/>
          <w:szCs w:val="18"/>
          <w:color w:val="0E0E0E"/>
        </w:rPr>
        <w:t xml:space="preserve">s. </w:t>
      </w:r>
      <w:r>
        <w:rPr>
          <w:rFonts w:ascii="Calibri" w:cs="Calibri" w:eastAsia="Calibri" w:hAnsi="Calibri"/>
          <w:sz w:val="18"/>
          <w:szCs w:val="18"/>
          <w:b w:val="1"/>
          <w:bCs w:val="1"/>
          <w:color w:val="0E0E0E"/>
        </w:rPr>
        <w:t>Conversions must be completed within 31 days of your Severance End Date.</w:t>
      </w:r>
    </w:p>
    <w:p>
      <w:pPr>
        <w:spacing w:after="0" w:line="110" w:lineRule="exact"/>
        <w:rPr>
          <w:sz w:val="20"/>
          <w:szCs w:val="20"/>
          <w:color w:val="auto"/>
        </w:rPr>
      </w:pPr>
    </w:p>
    <w:p>
      <w:pPr>
        <w:jc w:val="both"/>
        <w:ind w:left="460" w:hanging="188"/>
        <w:spacing w:after="0"/>
        <w:rPr>
          <w:sz w:val="20"/>
          <w:szCs w:val="20"/>
          <w:color w:val="auto"/>
        </w:rPr>
      </w:pPr>
      <w:r>
        <w:rPr>
          <w:rFonts w:ascii="Calibri" w:cs="Calibri" w:eastAsia="Calibri" w:hAnsi="Calibri"/>
          <w:sz w:val="18"/>
          <w:szCs w:val="18"/>
          <w:b w:val="1"/>
          <w:bCs w:val="1"/>
          <w:color w:val="0E0E0E"/>
        </w:rPr>
        <w:t xml:space="preserve">Health Savings Account (“HSA") </w:t>
      </w:r>
      <w:r>
        <w:rPr>
          <w:rFonts w:ascii="Calibri" w:cs="Calibri" w:eastAsia="Calibri" w:hAnsi="Calibri"/>
          <w:sz w:val="18"/>
          <w:szCs w:val="18"/>
          <w:color w:val="0E0E0E"/>
        </w:rPr>
        <w:t>– If enrolled, your HSA account belongs to you and will remain actve for as long as you prefer. You will contnue to have</w:t>
      </w:r>
      <w:r>
        <w:rPr>
          <w:rFonts w:ascii="Calibri" w:cs="Calibri" w:eastAsia="Calibri" w:hAnsi="Calibri"/>
          <w:sz w:val="18"/>
          <w:szCs w:val="18"/>
          <w:b w:val="1"/>
          <w:bCs w:val="1"/>
          <w:color w:val="0E0E0E"/>
        </w:rPr>
        <w:t xml:space="preserve"> </w:t>
      </w:r>
      <w:r>
        <w:rPr>
          <w:rFonts w:ascii="Calibri" w:cs="Calibri" w:eastAsia="Calibri" w:hAnsi="Calibri"/>
          <w:sz w:val="18"/>
          <w:szCs w:val="18"/>
          <w:color w:val="0E0E0E"/>
        </w:rPr>
        <w:t>access to your account a</w:t>
      </w:r>
      <w:r>
        <w:rPr>
          <w:rFonts w:ascii="Calibri" w:cs="Calibri" w:eastAsia="Calibri" w:hAnsi="Calibri"/>
          <w:sz w:val="18"/>
          <w:szCs w:val="18"/>
          <w:color w:val="000000"/>
        </w:rPr>
        <w:t>t</w:t>
      </w:r>
      <w:r>
        <w:rPr>
          <w:rFonts w:ascii="Calibri" w:cs="Calibri" w:eastAsia="Calibri" w:hAnsi="Calibri"/>
          <w:sz w:val="18"/>
          <w:szCs w:val="18"/>
          <w:color w:val="0E0E0E"/>
        </w:rPr>
        <w:t xml:space="preserve"> </w:t>
      </w:r>
      <w:r>
        <w:rPr>
          <w:rFonts w:ascii="Calibri" w:cs="Calibri" w:eastAsia="Calibri" w:hAnsi="Calibri"/>
          <w:sz w:val="18"/>
          <w:szCs w:val="18"/>
          <w:u w:val="single" w:color="auto"/>
          <w:color w:val="000000"/>
        </w:rPr>
        <w:t>www.mybeneftwallet.com</w:t>
      </w:r>
      <w:r>
        <w:rPr>
          <w:rFonts w:ascii="Calibri" w:cs="Calibri" w:eastAsia="Calibri" w:hAnsi="Calibri"/>
          <w:sz w:val="18"/>
          <w:szCs w:val="18"/>
          <w:color w:val="000000"/>
        </w:rPr>
        <w:t>.</w:t>
      </w:r>
      <w:r>
        <w:rPr>
          <w:rFonts w:ascii="Calibri" w:cs="Calibri" w:eastAsia="Calibri" w:hAnsi="Calibri"/>
          <w:sz w:val="18"/>
          <w:szCs w:val="18"/>
          <w:color w:val="0E0E0E"/>
        </w:rPr>
        <w:t xml:space="preserve"> There will be a nominal monthly administratve fee afer your Terminaton Date. For assistance with your account, please contact Beneft Wallet directly at 1-877-472-4200</w:t>
      </w:r>
      <w:r>
        <w:rPr>
          <w:rFonts w:ascii="Calibri" w:cs="Calibri" w:eastAsia="Calibri" w:hAnsi="Calibri"/>
          <w:sz w:val="18"/>
          <w:szCs w:val="18"/>
          <w:color w:val="353535"/>
        </w:rPr>
        <w:t>.</w:t>
      </w:r>
    </w:p>
    <w:p>
      <w:pPr>
        <w:spacing w:after="0" w:line="110" w:lineRule="exact"/>
        <w:rPr>
          <w:sz w:val="20"/>
          <w:szCs w:val="20"/>
          <w:color w:val="auto"/>
        </w:rPr>
      </w:pPr>
    </w:p>
    <w:p>
      <w:pPr>
        <w:jc w:val="both"/>
        <w:ind w:left="460" w:hanging="188"/>
        <w:spacing w:after="0" w:line="239" w:lineRule="auto"/>
        <w:rPr>
          <w:sz w:val="20"/>
          <w:szCs w:val="20"/>
          <w:color w:val="auto"/>
        </w:rPr>
      </w:pPr>
      <w:r>
        <w:rPr>
          <w:rFonts w:ascii="Calibri" w:cs="Calibri" w:eastAsia="Calibri" w:hAnsi="Calibri"/>
          <w:sz w:val="18"/>
          <w:szCs w:val="18"/>
          <w:b w:val="1"/>
          <w:bCs w:val="1"/>
          <w:color w:val="0E0E0E"/>
        </w:rPr>
        <w:t xml:space="preserve">Disability Insurance </w:t>
      </w:r>
      <w:r>
        <w:rPr>
          <w:rFonts w:ascii="Calibri" w:cs="Calibri" w:eastAsia="Calibri" w:hAnsi="Calibri"/>
          <w:sz w:val="18"/>
          <w:szCs w:val="18"/>
          <w:color w:val="0E0E0E"/>
        </w:rPr>
        <w:t>– Your coverage for both Short-Term and Long-Term Disability ends on your Terminaton Date. You may convert your coverage under</w:t>
      </w:r>
      <w:r>
        <w:rPr>
          <w:rFonts w:ascii="Calibri" w:cs="Calibri" w:eastAsia="Calibri" w:hAnsi="Calibri"/>
          <w:sz w:val="18"/>
          <w:szCs w:val="18"/>
          <w:b w:val="1"/>
          <w:bCs w:val="1"/>
          <w:color w:val="0E0E0E"/>
        </w:rPr>
        <w:t xml:space="preserve"> </w:t>
      </w:r>
      <w:r>
        <w:rPr>
          <w:rFonts w:ascii="Calibri" w:cs="Calibri" w:eastAsia="Calibri" w:hAnsi="Calibri"/>
          <w:sz w:val="18"/>
          <w:szCs w:val="18"/>
          <w:color w:val="0E0E0E"/>
        </w:rPr>
        <w:t>the Long-Term Disability Plan to an individual policy issued by The Hartord if you have been partcipatng in this plan for at least the prior 12 consecutve months</w:t>
      </w:r>
      <w:r>
        <w:rPr>
          <w:rFonts w:ascii="Calibri" w:cs="Calibri" w:eastAsia="Calibri" w:hAnsi="Calibri"/>
          <w:sz w:val="18"/>
          <w:szCs w:val="18"/>
          <w:color w:val="353535"/>
        </w:rPr>
        <w:t>.</w:t>
      </w:r>
      <w:r>
        <w:rPr>
          <w:rFonts w:ascii="Calibri" w:cs="Calibri" w:eastAsia="Calibri" w:hAnsi="Calibri"/>
          <w:sz w:val="18"/>
          <w:szCs w:val="18"/>
          <w:color w:val="0E0E0E"/>
        </w:rPr>
        <w:t xml:space="preserve"> If you are interested in learning more, please complete the atached conversion form and submit it to The Hartord as directed on the form. You may also contact The Hartord directly at 1-877-320-0484 to learn more</w:t>
      </w:r>
      <w:r>
        <w:rPr>
          <w:rFonts w:ascii="Calibri" w:cs="Calibri" w:eastAsia="Calibri" w:hAnsi="Calibri"/>
          <w:sz w:val="18"/>
          <w:szCs w:val="18"/>
          <w:color w:val="353535"/>
        </w:rPr>
        <w:t>.</w:t>
      </w:r>
      <w:r>
        <w:rPr>
          <w:rFonts w:ascii="Calibri" w:cs="Calibri" w:eastAsia="Calibri" w:hAnsi="Calibri"/>
          <w:sz w:val="18"/>
          <w:szCs w:val="18"/>
          <w:color w:val="0E0E0E"/>
        </w:rPr>
        <w:t xml:space="preserve"> </w:t>
      </w:r>
      <w:r>
        <w:rPr>
          <w:rFonts w:ascii="Calibri" w:cs="Calibri" w:eastAsia="Calibri" w:hAnsi="Calibri"/>
          <w:sz w:val="18"/>
          <w:szCs w:val="18"/>
          <w:b w:val="1"/>
          <w:bCs w:val="1"/>
          <w:color w:val="0E0E0E"/>
        </w:rPr>
        <w:t>Conversions must be completed within 31 days of your</w:t>
      </w:r>
    </w:p>
    <w:p>
      <w:pPr>
        <w:spacing w:after="0" w:line="11" w:lineRule="exact"/>
        <w:rPr>
          <w:sz w:val="20"/>
          <w:szCs w:val="20"/>
          <w:color w:val="auto"/>
        </w:rPr>
      </w:pPr>
    </w:p>
    <w:p>
      <w:pPr>
        <w:ind w:left="460"/>
        <w:spacing w:after="0"/>
        <w:rPr>
          <w:sz w:val="20"/>
          <w:szCs w:val="20"/>
          <w:color w:val="auto"/>
        </w:rPr>
      </w:pPr>
      <w:r>
        <w:rPr>
          <w:rFonts w:ascii="Calibri" w:cs="Calibri" w:eastAsia="Calibri" w:hAnsi="Calibri"/>
          <w:sz w:val="18"/>
          <w:szCs w:val="18"/>
          <w:b w:val="1"/>
          <w:bCs w:val="1"/>
          <w:color w:val="0E0E0E"/>
        </w:rPr>
        <w:t>Terminaton Date.</w:t>
      </w:r>
    </w:p>
    <w:p>
      <w:pPr>
        <w:spacing w:after="0" w:line="91" w:lineRule="exact"/>
        <w:rPr>
          <w:sz w:val="20"/>
          <w:szCs w:val="20"/>
          <w:color w:val="auto"/>
        </w:rPr>
      </w:pPr>
    </w:p>
    <w:p>
      <w:pPr>
        <w:ind w:left="460"/>
        <w:spacing w:after="0"/>
        <w:rPr>
          <w:sz w:val="20"/>
          <w:szCs w:val="20"/>
          <w:color w:val="auto"/>
        </w:rPr>
      </w:pPr>
      <w:r>
        <w:rPr>
          <w:rFonts w:ascii="Calibri" w:cs="Calibri" w:eastAsia="Calibri" w:hAnsi="Calibri"/>
          <w:sz w:val="18"/>
          <w:szCs w:val="18"/>
          <w:color w:val="0E0E0E"/>
        </w:rPr>
        <w:t>There is no conversion available under the Short-Term Disability Plan</w:t>
      </w:r>
      <w:r>
        <w:rPr>
          <w:rFonts w:ascii="Calibri" w:cs="Calibri" w:eastAsia="Calibri" w:hAnsi="Calibri"/>
          <w:sz w:val="18"/>
          <w:szCs w:val="18"/>
          <w:color w:val="353535"/>
        </w:rPr>
        <w:t>.</w:t>
      </w:r>
    </w:p>
    <w:p>
      <w:pPr>
        <w:spacing w:after="0" w:line="77"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color w:val="0E0E0E"/>
        </w:rPr>
        <w:t xml:space="preserve">Business Travel Accident Insurance Plan </w:t>
      </w:r>
      <w:r>
        <w:rPr>
          <w:rFonts w:ascii="Calibri" w:cs="Calibri" w:eastAsia="Calibri" w:hAnsi="Calibri"/>
          <w:sz w:val="18"/>
          <w:szCs w:val="18"/>
          <w:color w:val="0E0E0E"/>
        </w:rPr>
        <w:t>– Coverage terminates on your Terminaton Date.</w:t>
      </w:r>
    </w:p>
    <w:p>
      <w:pPr>
        <w:spacing w:after="0" w:line="77" w:lineRule="exact"/>
        <w:rPr>
          <w:sz w:val="20"/>
          <w:szCs w:val="20"/>
          <w:color w:val="auto"/>
        </w:rPr>
      </w:pPr>
    </w:p>
    <w:p>
      <w:pPr>
        <w:ind w:left="260"/>
        <w:spacing w:after="0"/>
        <w:rPr>
          <w:sz w:val="20"/>
          <w:szCs w:val="20"/>
          <w:color w:val="auto"/>
        </w:rPr>
      </w:pPr>
      <w:r>
        <w:rPr>
          <w:rFonts w:ascii="Calibri" w:cs="Calibri" w:eastAsia="Calibri" w:hAnsi="Calibri"/>
          <w:sz w:val="18"/>
          <w:szCs w:val="18"/>
          <w:b w:val="1"/>
          <w:bCs w:val="1"/>
          <w:color w:val="0E0E0E"/>
        </w:rPr>
        <w:t xml:space="preserve">Employee Assistance Program (“EAP”) </w:t>
      </w:r>
      <w:r>
        <w:rPr>
          <w:rFonts w:ascii="Calibri" w:cs="Calibri" w:eastAsia="Calibri" w:hAnsi="Calibri"/>
          <w:sz w:val="18"/>
          <w:szCs w:val="18"/>
          <w:color w:val="0E0E0E"/>
        </w:rPr>
        <w:t>– Your coverage in the EAP ends 30 days afer your Terminaton Date</w:t>
      </w:r>
      <w:r>
        <w:rPr>
          <w:rFonts w:ascii="Calibri" w:cs="Calibri" w:eastAsia="Calibri" w:hAnsi="Calibri"/>
          <w:sz w:val="18"/>
          <w:szCs w:val="18"/>
          <w:color w:val="353535"/>
        </w:rPr>
        <w:t>.</w:t>
      </w:r>
    </w:p>
    <w:p>
      <w:pPr>
        <w:spacing w:after="0" w:line="91" w:lineRule="exact"/>
        <w:rPr>
          <w:sz w:val="20"/>
          <w:szCs w:val="20"/>
          <w:color w:val="auto"/>
        </w:rPr>
      </w:pPr>
    </w:p>
    <w:p>
      <w:pPr>
        <w:ind w:left="140"/>
        <w:spacing w:after="0"/>
        <w:rPr>
          <w:sz w:val="20"/>
          <w:szCs w:val="20"/>
          <w:color w:val="auto"/>
        </w:rPr>
      </w:pPr>
      <w:r>
        <w:rPr>
          <w:rFonts w:ascii="Calibri" w:cs="Calibri" w:eastAsia="Calibri" w:hAnsi="Calibri"/>
          <w:sz w:val="18"/>
          <w:szCs w:val="18"/>
          <w:b w:val="1"/>
          <w:bCs w:val="1"/>
          <w:u w:val="single" w:color="auto"/>
          <w:color w:val="181618"/>
        </w:rPr>
        <w:t>Payroll Deductons</w:t>
      </w:r>
    </w:p>
    <w:p>
      <w:pPr>
        <w:spacing w:after="0" w:line="82" w:lineRule="exact"/>
        <w:rPr>
          <w:sz w:val="20"/>
          <w:szCs w:val="20"/>
          <w:color w:val="auto"/>
        </w:rPr>
      </w:pPr>
    </w:p>
    <w:p>
      <w:pPr>
        <w:jc w:val="both"/>
        <w:ind w:left="140"/>
        <w:spacing w:after="0" w:line="258" w:lineRule="auto"/>
        <w:rPr>
          <w:sz w:val="20"/>
          <w:szCs w:val="20"/>
          <w:color w:val="auto"/>
        </w:rPr>
      </w:pPr>
      <w:r>
        <w:rPr>
          <w:rFonts w:ascii="Calibri" w:cs="Calibri" w:eastAsia="Calibri" w:hAnsi="Calibri"/>
          <w:sz w:val="17"/>
          <w:szCs w:val="17"/>
          <w:color w:val="181618"/>
        </w:rPr>
        <w:t>To the extent applicable</w:t>
      </w:r>
      <w:r>
        <w:rPr>
          <w:rFonts w:ascii="Calibri" w:cs="Calibri" w:eastAsia="Calibri" w:hAnsi="Calibri"/>
          <w:sz w:val="17"/>
          <w:szCs w:val="17"/>
          <w:color w:val="333133"/>
        </w:rPr>
        <w:t>,</w:t>
      </w:r>
      <w:r>
        <w:rPr>
          <w:rFonts w:ascii="Calibri" w:cs="Calibri" w:eastAsia="Calibri" w:hAnsi="Calibri"/>
          <w:sz w:val="17"/>
          <w:szCs w:val="17"/>
          <w:color w:val="181618"/>
        </w:rPr>
        <w:t xml:space="preserve"> payroll deductons currently authorized by you, as </w:t>
      </w:r>
      <w:r>
        <w:rPr>
          <w:rFonts w:ascii="Calibri" w:cs="Calibri" w:eastAsia="Calibri" w:hAnsi="Calibri"/>
          <w:sz w:val="17"/>
          <w:szCs w:val="17"/>
          <w:color w:val="333133"/>
        </w:rPr>
        <w:t>w</w:t>
      </w:r>
      <w:r>
        <w:rPr>
          <w:rFonts w:ascii="Calibri" w:cs="Calibri" w:eastAsia="Calibri" w:hAnsi="Calibri"/>
          <w:sz w:val="17"/>
          <w:szCs w:val="17"/>
          <w:color w:val="181618"/>
        </w:rPr>
        <w:t>e</w:t>
      </w:r>
      <w:r>
        <w:rPr>
          <w:rFonts w:ascii="Calibri" w:cs="Calibri" w:eastAsia="Calibri" w:hAnsi="Calibri"/>
          <w:sz w:val="17"/>
          <w:szCs w:val="17"/>
          <w:color w:val="333133"/>
        </w:rPr>
        <w:t>ll</w:t>
      </w:r>
      <w:r>
        <w:rPr>
          <w:rFonts w:ascii="Calibri" w:cs="Calibri" w:eastAsia="Calibri" w:hAnsi="Calibri"/>
          <w:sz w:val="17"/>
          <w:szCs w:val="17"/>
          <w:color w:val="181618"/>
        </w:rPr>
        <w:t xml:space="preserve"> as appropriate ta</w:t>
      </w:r>
      <w:r>
        <w:rPr>
          <w:rFonts w:ascii="Calibri" w:cs="Calibri" w:eastAsia="Calibri" w:hAnsi="Calibri"/>
          <w:sz w:val="17"/>
          <w:szCs w:val="17"/>
          <w:color w:val="333133"/>
        </w:rPr>
        <w:t>x</w:t>
      </w:r>
      <w:r>
        <w:rPr>
          <w:rFonts w:ascii="Calibri" w:cs="Calibri" w:eastAsia="Calibri" w:hAnsi="Calibri"/>
          <w:sz w:val="17"/>
          <w:szCs w:val="17"/>
          <w:color w:val="181618"/>
        </w:rPr>
        <w:t xml:space="preserve"> withholding</w:t>
      </w:r>
      <w:r>
        <w:rPr>
          <w:rFonts w:ascii="Calibri" w:cs="Calibri" w:eastAsia="Calibri" w:hAnsi="Calibri"/>
          <w:sz w:val="17"/>
          <w:szCs w:val="17"/>
          <w:color w:val="333133"/>
        </w:rPr>
        <w:t>,</w:t>
      </w:r>
      <w:r>
        <w:rPr>
          <w:rFonts w:ascii="Calibri" w:cs="Calibri" w:eastAsia="Calibri" w:hAnsi="Calibri"/>
          <w:sz w:val="17"/>
          <w:szCs w:val="17"/>
          <w:color w:val="181618"/>
        </w:rPr>
        <w:t xml:space="preserve"> will contnue untl your Severance End Date. If you wish to change your deductons afer your Terminaton Date but before the Severance End Date</w:t>
      </w:r>
      <w:r>
        <w:rPr>
          <w:rFonts w:ascii="Calibri" w:cs="Calibri" w:eastAsia="Calibri" w:hAnsi="Calibri"/>
          <w:sz w:val="17"/>
          <w:szCs w:val="17"/>
          <w:color w:val="333133"/>
        </w:rPr>
        <w:t>,</w:t>
      </w:r>
      <w:r>
        <w:rPr>
          <w:rFonts w:ascii="Calibri" w:cs="Calibri" w:eastAsia="Calibri" w:hAnsi="Calibri"/>
          <w:sz w:val="17"/>
          <w:szCs w:val="17"/>
          <w:color w:val="181618"/>
        </w:rPr>
        <w:t xml:space="preserve"> please make this change through Workday.</w:t>
      </w:r>
    </w:p>
    <w:p>
      <w:pPr>
        <w:spacing w:after="0" w:line="76" w:lineRule="exact"/>
        <w:rPr>
          <w:sz w:val="20"/>
          <w:szCs w:val="20"/>
          <w:color w:val="auto"/>
        </w:rPr>
      </w:pPr>
    </w:p>
    <w:p>
      <w:pPr>
        <w:ind w:left="140"/>
        <w:spacing w:after="0"/>
        <w:rPr>
          <w:sz w:val="20"/>
          <w:szCs w:val="20"/>
          <w:color w:val="auto"/>
        </w:rPr>
      </w:pPr>
      <w:r>
        <w:rPr>
          <w:rFonts w:ascii="Calibri" w:cs="Calibri" w:eastAsia="Calibri" w:hAnsi="Calibri"/>
          <w:sz w:val="18"/>
          <w:szCs w:val="18"/>
          <w:b w:val="1"/>
          <w:bCs w:val="1"/>
          <w:u w:val="single" w:color="auto"/>
          <w:color w:val="181618"/>
        </w:rPr>
        <w:t>Miscellaneous</w:t>
      </w:r>
    </w:p>
    <w:p>
      <w:pPr>
        <w:spacing w:after="0" w:line="77" w:lineRule="exact"/>
        <w:rPr>
          <w:sz w:val="20"/>
          <w:szCs w:val="20"/>
          <w:color w:val="auto"/>
        </w:rPr>
      </w:pPr>
    </w:p>
    <w:p>
      <w:pPr>
        <w:ind w:left="140"/>
        <w:spacing w:after="0"/>
        <w:rPr>
          <w:sz w:val="20"/>
          <w:szCs w:val="20"/>
          <w:color w:val="auto"/>
        </w:rPr>
      </w:pPr>
      <w:r>
        <w:rPr>
          <w:rFonts w:ascii="Calibri" w:cs="Calibri" w:eastAsia="Calibri" w:hAnsi="Calibri"/>
          <w:sz w:val="18"/>
          <w:szCs w:val="18"/>
          <w:b w:val="1"/>
          <w:bCs w:val="1"/>
          <w:color w:val="181618"/>
        </w:rPr>
        <w:t xml:space="preserve">Conference Atendance – </w:t>
      </w:r>
      <w:r>
        <w:rPr>
          <w:rFonts w:ascii="Calibri" w:cs="Calibri" w:eastAsia="Calibri" w:hAnsi="Calibri"/>
          <w:sz w:val="18"/>
          <w:szCs w:val="18"/>
          <w:color w:val="181618"/>
        </w:rPr>
        <w:t>Your atendance at the Reach conference, October 9 - 12 will be at the CEO’s request.</w:t>
      </w:r>
    </w:p>
    <w:p>
      <w:pPr>
        <w:spacing w:after="0" w:line="96" w:lineRule="exact"/>
        <w:rPr>
          <w:sz w:val="20"/>
          <w:szCs w:val="20"/>
          <w:color w:val="auto"/>
        </w:rPr>
      </w:pPr>
    </w:p>
    <w:p>
      <w:pPr>
        <w:jc w:val="both"/>
        <w:ind w:left="140" w:right="20"/>
        <w:spacing w:after="0"/>
        <w:rPr>
          <w:sz w:val="20"/>
          <w:szCs w:val="20"/>
          <w:color w:val="auto"/>
        </w:rPr>
      </w:pPr>
      <w:r>
        <w:rPr>
          <w:rFonts w:ascii="Calibri" w:cs="Calibri" w:eastAsia="Calibri" w:hAnsi="Calibri"/>
          <w:sz w:val="18"/>
          <w:szCs w:val="18"/>
          <w:b w:val="1"/>
          <w:bCs w:val="1"/>
          <w:color w:val="181618"/>
        </w:rPr>
        <w:t xml:space="preserve">Company Equipment </w:t>
      </w:r>
      <w:r>
        <w:rPr>
          <w:rFonts w:ascii="Calibri" w:cs="Calibri" w:eastAsia="Calibri" w:hAnsi="Calibri"/>
          <w:sz w:val="18"/>
          <w:szCs w:val="18"/>
          <w:color w:val="181618"/>
        </w:rPr>
        <w:t>– Please plan on returning all Company-provided equipment such as c</w:t>
      </w:r>
      <w:r>
        <w:rPr>
          <w:rFonts w:ascii="Calibri" w:cs="Calibri" w:eastAsia="Calibri" w:hAnsi="Calibri"/>
          <w:sz w:val="18"/>
          <w:szCs w:val="18"/>
          <w:color w:val="333133"/>
        </w:rPr>
        <w:t>r</w:t>
      </w:r>
      <w:r>
        <w:rPr>
          <w:rFonts w:ascii="Calibri" w:cs="Calibri" w:eastAsia="Calibri" w:hAnsi="Calibri"/>
          <w:sz w:val="18"/>
          <w:szCs w:val="18"/>
          <w:color w:val="181618"/>
        </w:rPr>
        <w:t>ed</w:t>
      </w:r>
      <w:r>
        <w:rPr>
          <w:rFonts w:ascii="Calibri" w:cs="Calibri" w:eastAsia="Calibri" w:hAnsi="Calibri"/>
          <w:sz w:val="18"/>
          <w:szCs w:val="18"/>
          <w:color w:val="333133"/>
        </w:rPr>
        <w:t>i</w:t>
      </w:r>
      <w:r>
        <w:rPr>
          <w:rFonts w:ascii="Calibri" w:cs="Calibri" w:eastAsia="Calibri" w:hAnsi="Calibri"/>
          <w:sz w:val="18"/>
          <w:szCs w:val="18"/>
          <w:color w:val="181618"/>
        </w:rPr>
        <w:t>t cards, access badges and ofce keys</w:t>
      </w:r>
      <w:r>
        <w:rPr>
          <w:rFonts w:ascii="Calibri" w:cs="Calibri" w:eastAsia="Calibri" w:hAnsi="Calibri"/>
          <w:sz w:val="18"/>
          <w:szCs w:val="18"/>
          <w:color w:val="333133"/>
        </w:rPr>
        <w:t>,</w:t>
      </w:r>
      <w:r>
        <w:rPr>
          <w:rFonts w:ascii="Calibri" w:cs="Calibri" w:eastAsia="Calibri" w:hAnsi="Calibri"/>
          <w:sz w:val="18"/>
          <w:szCs w:val="18"/>
          <w:b w:val="1"/>
          <w:bCs w:val="1"/>
          <w:color w:val="181618"/>
        </w:rPr>
        <w:t xml:space="preserve"> </w:t>
      </w:r>
      <w:r>
        <w:rPr>
          <w:rFonts w:ascii="Calibri" w:cs="Calibri" w:eastAsia="Calibri" w:hAnsi="Calibri"/>
          <w:sz w:val="18"/>
          <w:szCs w:val="18"/>
          <w:color w:val="181618"/>
        </w:rPr>
        <w:t>computer</w:t>
      </w:r>
      <w:r>
        <w:rPr>
          <w:rFonts w:ascii="Calibri" w:cs="Calibri" w:eastAsia="Calibri" w:hAnsi="Calibri"/>
          <w:sz w:val="18"/>
          <w:szCs w:val="18"/>
          <w:color w:val="333133"/>
        </w:rPr>
        <w:t>,</w:t>
      </w:r>
      <w:r>
        <w:rPr>
          <w:rFonts w:ascii="Calibri" w:cs="Calibri" w:eastAsia="Calibri" w:hAnsi="Calibri"/>
          <w:sz w:val="18"/>
          <w:szCs w:val="18"/>
          <w:b w:val="1"/>
          <w:bCs w:val="1"/>
          <w:color w:val="181618"/>
        </w:rPr>
        <w:t xml:space="preserve"> </w:t>
      </w:r>
      <w:r>
        <w:rPr>
          <w:rFonts w:ascii="Calibri" w:cs="Calibri" w:eastAsia="Calibri" w:hAnsi="Calibri"/>
          <w:sz w:val="18"/>
          <w:szCs w:val="18"/>
          <w:color w:val="181618"/>
        </w:rPr>
        <w:t>smartphone, tablet and any o</w:t>
      </w:r>
      <w:r>
        <w:rPr>
          <w:rFonts w:ascii="Calibri" w:cs="Calibri" w:eastAsia="Calibri" w:hAnsi="Calibri"/>
          <w:sz w:val="18"/>
          <w:szCs w:val="18"/>
          <w:color w:val="333133"/>
        </w:rPr>
        <w:t>t</w:t>
      </w:r>
      <w:r>
        <w:rPr>
          <w:rFonts w:ascii="Calibri" w:cs="Calibri" w:eastAsia="Calibri" w:hAnsi="Calibri"/>
          <w:sz w:val="18"/>
          <w:szCs w:val="18"/>
          <w:color w:val="181618"/>
        </w:rPr>
        <w:t>he</w:t>
      </w:r>
      <w:r>
        <w:rPr>
          <w:rFonts w:ascii="Calibri" w:cs="Calibri" w:eastAsia="Calibri" w:hAnsi="Calibri"/>
          <w:sz w:val="18"/>
          <w:szCs w:val="18"/>
          <w:color w:val="333133"/>
        </w:rPr>
        <w:t>r C</w:t>
      </w:r>
      <w:r>
        <w:rPr>
          <w:rFonts w:ascii="Calibri" w:cs="Calibri" w:eastAsia="Calibri" w:hAnsi="Calibri"/>
          <w:sz w:val="18"/>
          <w:szCs w:val="18"/>
          <w:color w:val="181618"/>
        </w:rPr>
        <w:t>ompany equipment by your Terminaton Date</w:t>
      </w:r>
      <w:r>
        <w:rPr>
          <w:rFonts w:ascii="Calibri" w:cs="Calibri" w:eastAsia="Calibri" w:hAnsi="Calibri"/>
          <w:sz w:val="18"/>
          <w:szCs w:val="18"/>
          <w:color w:val="333133"/>
        </w:rPr>
        <w:t>. If you are unable to return the equipment in person, instructons will be</w:t>
      </w:r>
      <w:r>
        <w:rPr>
          <w:rFonts w:ascii="Calibri" w:cs="Calibri" w:eastAsia="Calibri" w:hAnsi="Calibri"/>
          <w:sz w:val="18"/>
          <w:szCs w:val="18"/>
          <w:color w:val="181618"/>
        </w:rPr>
        <w:t xml:space="preserve"> </w:t>
      </w:r>
      <w:r>
        <w:rPr>
          <w:rFonts w:ascii="Calibri" w:cs="Calibri" w:eastAsia="Calibri" w:hAnsi="Calibri"/>
          <w:sz w:val="18"/>
          <w:szCs w:val="18"/>
          <w:color w:val="333133"/>
        </w:rPr>
        <w:t>provided to you on how to send them back via UPS.</w:t>
      </w:r>
    </w:p>
    <w:p>
      <w:pPr>
        <w:spacing w:after="0" w:line="110" w:lineRule="exact"/>
        <w:rPr>
          <w:sz w:val="20"/>
          <w:szCs w:val="20"/>
          <w:color w:val="auto"/>
        </w:rPr>
      </w:pPr>
    </w:p>
    <w:p>
      <w:pPr>
        <w:jc w:val="both"/>
        <w:ind w:left="140"/>
        <w:spacing w:after="0" w:line="235" w:lineRule="auto"/>
        <w:rPr>
          <w:sz w:val="20"/>
          <w:szCs w:val="20"/>
          <w:color w:val="auto"/>
        </w:rPr>
      </w:pPr>
      <w:r>
        <w:rPr>
          <w:rFonts w:ascii="Calibri" w:cs="Calibri" w:eastAsia="Calibri" w:hAnsi="Calibri"/>
          <w:sz w:val="18"/>
          <w:szCs w:val="18"/>
          <w:b w:val="1"/>
          <w:bCs w:val="1"/>
          <w:color w:val="181618"/>
        </w:rPr>
        <w:t xml:space="preserve">Final Expenses </w:t>
      </w:r>
      <w:r>
        <w:rPr>
          <w:rFonts w:ascii="Calibri" w:cs="Calibri" w:eastAsia="Calibri" w:hAnsi="Calibri"/>
          <w:sz w:val="18"/>
          <w:szCs w:val="18"/>
          <w:color w:val="333133"/>
        </w:rPr>
        <w:t>–</w:t>
      </w:r>
      <w:r>
        <w:rPr>
          <w:rFonts w:ascii="Calibri" w:cs="Calibri" w:eastAsia="Calibri" w:hAnsi="Calibri"/>
          <w:sz w:val="18"/>
          <w:szCs w:val="18"/>
          <w:b w:val="1"/>
          <w:bCs w:val="1"/>
          <w:color w:val="181618"/>
        </w:rPr>
        <w:t xml:space="preserve"> </w:t>
      </w:r>
      <w:r>
        <w:rPr>
          <w:rFonts w:ascii="Calibri" w:cs="Calibri" w:eastAsia="Calibri" w:hAnsi="Calibri"/>
          <w:sz w:val="18"/>
          <w:szCs w:val="18"/>
          <w:color w:val="181618"/>
        </w:rPr>
        <w:t>If you have an outstanding Company-issued credit card and</w:t>
      </w:r>
      <w:r>
        <w:rPr>
          <w:rFonts w:ascii="Calibri" w:cs="Calibri" w:eastAsia="Calibri" w:hAnsi="Calibri"/>
          <w:sz w:val="18"/>
          <w:szCs w:val="18"/>
          <w:color w:val="333133"/>
        </w:rPr>
        <w:t>/</w:t>
      </w:r>
      <w:r>
        <w:rPr>
          <w:rFonts w:ascii="Calibri" w:cs="Calibri" w:eastAsia="Calibri" w:hAnsi="Calibri"/>
          <w:sz w:val="18"/>
          <w:szCs w:val="18"/>
          <w:color w:val="181618"/>
        </w:rPr>
        <w:t>or cash e</w:t>
      </w:r>
      <w:r>
        <w:rPr>
          <w:rFonts w:ascii="Calibri" w:cs="Calibri" w:eastAsia="Calibri" w:hAnsi="Calibri"/>
          <w:sz w:val="18"/>
          <w:szCs w:val="18"/>
          <w:color w:val="333133"/>
        </w:rPr>
        <w:t>x</w:t>
      </w:r>
      <w:r>
        <w:rPr>
          <w:rFonts w:ascii="Calibri" w:cs="Calibri" w:eastAsia="Calibri" w:hAnsi="Calibri"/>
          <w:sz w:val="18"/>
          <w:szCs w:val="18"/>
          <w:color w:val="181618"/>
        </w:rPr>
        <w:t>penses due to you for reimbursement</w:t>
      </w:r>
      <w:r>
        <w:rPr>
          <w:rFonts w:ascii="Calibri" w:cs="Calibri" w:eastAsia="Calibri" w:hAnsi="Calibri"/>
          <w:sz w:val="18"/>
          <w:szCs w:val="18"/>
          <w:color w:val="333133"/>
        </w:rPr>
        <w:t>, please be sure</w:t>
      </w:r>
      <w:r>
        <w:rPr>
          <w:rFonts w:ascii="Calibri" w:cs="Calibri" w:eastAsia="Calibri" w:hAnsi="Calibri"/>
          <w:sz w:val="18"/>
          <w:szCs w:val="18"/>
          <w:b w:val="1"/>
          <w:bCs w:val="1"/>
          <w:color w:val="181618"/>
        </w:rPr>
        <w:t xml:space="preserve"> </w:t>
      </w:r>
      <w:r>
        <w:rPr>
          <w:rFonts w:ascii="Calibri" w:cs="Calibri" w:eastAsia="Calibri" w:hAnsi="Calibri"/>
          <w:sz w:val="18"/>
          <w:szCs w:val="18"/>
          <w:color w:val="181618"/>
        </w:rPr>
        <w:t>to clear these</w:t>
      </w:r>
      <w:r>
        <w:rPr>
          <w:rFonts w:ascii="Calibri" w:cs="Calibri" w:eastAsia="Calibri" w:hAnsi="Calibri"/>
          <w:sz w:val="18"/>
          <w:szCs w:val="18"/>
          <w:b w:val="1"/>
          <w:bCs w:val="1"/>
          <w:color w:val="181618"/>
        </w:rPr>
        <w:t xml:space="preserve"> </w:t>
      </w:r>
      <w:r>
        <w:rPr>
          <w:rFonts w:ascii="Calibri" w:cs="Calibri" w:eastAsia="Calibri" w:hAnsi="Calibri"/>
          <w:sz w:val="18"/>
          <w:szCs w:val="18"/>
          <w:color w:val="181618"/>
        </w:rPr>
        <w:t>items through your Concur e</w:t>
      </w:r>
      <w:r>
        <w:rPr>
          <w:rFonts w:ascii="Calibri" w:cs="Calibri" w:eastAsia="Calibri" w:hAnsi="Calibri"/>
          <w:sz w:val="18"/>
          <w:szCs w:val="18"/>
          <w:color w:val="333133"/>
        </w:rPr>
        <w:t>x</w:t>
      </w:r>
      <w:r>
        <w:rPr>
          <w:rFonts w:ascii="Calibri" w:cs="Calibri" w:eastAsia="Calibri" w:hAnsi="Calibri"/>
          <w:sz w:val="18"/>
          <w:szCs w:val="18"/>
          <w:color w:val="181618"/>
        </w:rPr>
        <w:t>pense account by your Terminaton Date.</w:t>
      </w:r>
    </w:p>
    <w:p>
      <w:pPr>
        <w:spacing w:after="0" w:line="123" w:lineRule="exact"/>
        <w:rPr>
          <w:sz w:val="20"/>
          <w:szCs w:val="20"/>
          <w:color w:val="auto"/>
        </w:rPr>
      </w:pPr>
    </w:p>
    <w:p>
      <w:pPr>
        <w:ind w:left="140" w:right="100"/>
        <w:spacing w:after="0" w:line="235" w:lineRule="auto"/>
        <w:rPr>
          <w:sz w:val="20"/>
          <w:szCs w:val="20"/>
          <w:color w:val="auto"/>
        </w:rPr>
      </w:pPr>
      <w:r>
        <w:rPr>
          <w:rFonts w:ascii="Calibri" w:cs="Calibri" w:eastAsia="Calibri" w:hAnsi="Calibri"/>
          <w:sz w:val="18"/>
          <w:szCs w:val="18"/>
          <w:color w:val="181618"/>
        </w:rPr>
        <w:t>The partes hereby indicate their agreement with the terms and conditons of this Memorandum and the atached Agreement and Release by signing and datng this Memorandum in the space provided below.</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18"/>
          <w:szCs w:val="18"/>
          <w:color w:val="181618"/>
        </w:rPr>
        <w:t>EMPLOYEE: Colin Sabol</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440" w:type="dxa"/>
            <w:vAlign w:val="bottom"/>
            <w:tcBorders>
              <w:bottom w:val="single" w:sz="8" w:color="auto"/>
            </w:tcBorders>
          </w:tcPr>
          <w:p>
            <w:pPr>
              <w:spacing w:after="0"/>
              <w:rPr>
                <w:sz w:val="20"/>
                <w:szCs w:val="20"/>
                <w:color w:val="auto"/>
              </w:rPr>
            </w:pPr>
            <w:r>
              <w:rPr>
                <w:rFonts w:ascii="Calibri" w:cs="Calibri" w:eastAsia="Calibri" w:hAnsi="Calibri"/>
                <w:sz w:val="20"/>
                <w:szCs w:val="20"/>
                <w:color w:val="auto"/>
              </w:rPr>
              <w:t>/s/ Colin R. Sabol</w:t>
            </w:r>
          </w:p>
        </w:tc>
        <w:tc>
          <w:tcPr>
            <w:tcW w:w="1300" w:type="dxa"/>
            <w:vAlign w:val="bottom"/>
          </w:tcPr>
          <w:p>
            <w:pPr>
              <w:spacing w:after="0"/>
              <w:rPr>
                <w:sz w:val="21"/>
                <w:szCs w:val="21"/>
                <w:color w:val="auto"/>
              </w:rPr>
            </w:pPr>
          </w:p>
        </w:tc>
        <w:tc>
          <w:tcPr>
            <w:tcW w:w="1180" w:type="dxa"/>
            <w:vAlign w:val="bottom"/>
            <w:tcBorders>
              <w:bottom w:val="single" w:sz="8" w:color="auto"/>
            </w:tcBorders>
          </w:tcPr>
          <w:p>
            <w:pPr>
              <w:ind w:left="180"/>
              <w:spacing w:after="0"/>
              <w:rPr>
                <w:sz w:val="20"/>
                <w:szCs w:val="20"/>
                <w:color w:val="auto"/>
              </w:rPr>
            </w:pPr>
            <w:r>
              <w:rPr>
                <w:rFonts w:ascii="Calibri" w:cs="Calibri" w:eastAsia="Calibri" w:hAnsi="Calibri"/>
                <w:sz w:val="20"/>
                <w:szCs w:val="20"/>
                <w:color w:val="auto"/>
                <w:w w:val="97"/>
              </w:rPr>
              <w:t>May 5, 2022</w:t>
            </w:r>
          </w:p>
        </w:tc>
      </w:tr>
      <w:tr>
        <w:trPr>
          <w:trHeight w:val="213"/>
        </w:trPr>
        <w:tc>
          <w:tcPr>
            <w:tcW w:w="1440" w:type="dxa"/>
            <w:vAlign w:val="bottom"/>
          </w:tcPr>
          <w:p>
            <w:pPr>
              <w:spacing w:after="0" w:line="213" w:lineRule="exact"/>
              <w:rPr>
                <w:sz w:val="20"/>
                <w:szCs w:val="20"/>
                <w:color w:val="auto"/>
              </w:rPr>
            </w:pPr>
            <w:r>
              <w:rPr>
                <w:rFonts w:ascii="Calibri" w:cs="Calibri" w:eastAsia="Calibri" w:hAnsi="Calibri"/>
                <w:sz w:val="18"/>
                <w:szCs w:val="18"/>
                <w:color w:val="181618"/>
                <w:w w:val="97"/>
              </w:rPr>
              <w:t>Employee Signature</w:t>
            </w:r>
          </w:p>
        </w:tc>
        <w:tc>
          <w:tcPr>
            <w:tcW w:w="1300" w:type="dxa"/>
            <w:vAlign w:val="bottom"/>
          </w:tcPr>
          <w:p>
            <w:pPr>
              <w:spacing w:after="0"/>
              <w:rPr>
                <w:sz w:val="18"/>
                <w:szCs w:val="18"/>
                <w:color w:val="auto"/>
              </w:rPr>
            </w:pPr>
          </w:p>
        </w:tc>
        <w:tc>
          <w:tcPr>
            <w:tcW w:w="1180" w:type="dxa"/>
            <w:vAlign w:val="bottom"/>
          </w:tcPr>
          <w:p>
            <w:pPr>
              <w:ind w:left="240"/>
              <w:spacing w:after="0" w:line="213" w:lineRule="exact"/>
              <w:rPr>
                <w:sz w:val="20"/>
                <w:szCs w:val="20"/>
                <w:color w:val="auto"/>
              </w:rPr>
            </w:pPr>
            <w:r>
              <w:rPr>
                <w:rFonts w:ascii="Calibri" w:cs="Calibri" w:eastAsia="Calibri" w:hAnsi="Calibri"/>
                <w:sz w:val="18"/>
                <w:szCs w:val="18"/>
                <w:color w:val="181618"/>
              </w:rPr>
              <w:t>Date</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alibri" w:cs="Calibri" w:eastAsia="Calibri" w:hAnsi="Calibri"/>
          <w:sz w:val="18"/>
          <w:szCs w:val="18"/>
          <w:color w:val="181618"/>
        </w:rPr>
        <w:t>EMPLOYER: Xylem Inc.</w:t>
      </w:r>
    </w:p>
    <w:p>
      <w:pPr>
        <w:spacing w:after="0" w:line="192" w:lineRule="exact"/>
        <w:rPr>
          <w:sz w:val="20"/>
          <w:szCs w:val="20"/>
          <w:color w:val="auto"/>
        </w:rPr>
      </w:pPr>
    </w:p>
    <w:p>
      <w:pPr>
        <w:spacing w:after="0"/>
        <w:rPr>
          <w:sz w:val="20"/>
          <w:szCs w:val="20"/>
          <w:color w:val="auto"/>
        </w:rPr>
      </w:pPr>
      <w:r>
        <w:rPr>
          <w:rFonts w:ascii="Calibri" w:cs="Calibri" w:eastAsia="Calibri" w:hAnsi="Calibri"/>
          <w:sz w:val="20"/>
          <w:szCs w:val="20"/>
          <w:color w:val="auto"/>
        </w:rPr>
        <w:t>/s/ Shan Jarvis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8636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863600"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Calibri" w:cs="Calibri" w:eastAsia="Calibri" w:hAnsi="Calibri"/>
          <w:sz w:val="18"/>
          <w:szCs w:val="18"/>
          <w:color w:val="181618"/>
        </w:rPr>
        <w:t>Shan Jarvis, Vice President, Global Compensaton &amp; Benefts</w:t>
      </w:r>
      <w:r>
        <w:rPr>
          <w:rFonts w:ascii="Calibri" w:cs="Calibri" w:eastAsia="Calibri" w:hAnsi="Calibri"/>
          <w:sz w:val="18"/>
          <w:szCs w:val="18"/>
          <w:color w:val="333133"/>
        </w:rPr>
        <w:t>,</w:t>
      </w:r>
      <w:r>
        <w:rPr>
          <w:rFonts w:ascii="Calibri" w:cs="Calibri" w:eastAsia="Calibri" w:hAnsi="Calibri"/>
          <w:sz w:val="18"/>
          <w:szCs w:val="18"/>
          <w:color w:val="181618"/>
        </w:rPr>
        <w:t xml:space="preserve"> Xylem Inc.</w:t>
      </w:r>
    </w:p>
    <w:p>
      <w:pPr>
        <w:sectPr>
          <w:pgSz w:w="11900" w:h="16838" w:orient="portrait"/>
          <w:cols w:equalWidth="0" w:num="1">
            <w:col w:w="11140"/>
          </w:cols>
          <w:pgMar w:left="320" w:top="153" w:right="439" w:bottom="1440" w:gutter="0" w:footer="0" w:header="0"/>
        </w:sectPr>
      </w:pPr>
    </w:p>
    <w:bookmarkStart w:id="71" w:name="page72"/>
    <w:bookmarkEnd w:id="71"/>
    <w:p>
      <w:pPr>
        <w:ind w:left="40"/>
        <w:spacing w:after="0"/>
        <w:rPr>
          <w:sz w:val="20"/>
          <w:szCs w:val="20"/>
          <w:color w:val="auto"/>
        </w:rPr>
      </w:pPr>
      <w:r>
        <w:rPr>
          <w:rFonts w:ascii="Calibri" w:cs="Calibri" w:eastAsia="Calibri" w:hAnsi="Calibri"/>
          <w:sz w:val="18"/>
          <w:szCs w:val="18"/>
          <w:b w:val="1"/>
          <w:bCs w:val="1"/>
          <w:u w:val="single" w:color="auto"/>
          <w:color w:val="auto"/>
        </w:rPr>
        <w:t>PRIVILEGED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940435</wp:posOffset>
            </wp:positionV>
            <wp:extent cx="1397000" cy="5657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13970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Xylem Inc.</w:t>
      </w:r>
    </w:p>
    <w:p>
      <w:pPr>
        <w:spacing w:after="0" w:line="203" w:lineRule="auto"/>
        <w:rPr>
          <w:sz w:val="20"/>
          <w:szCs w:val="20"/>
          <w:color w:val="auto"/>
        </w:rPr>
      </w:pPr>
      <w:r>
        <w:rPr>
          <w:rFonts w:ascii="Arial" w:cs="Arial" w:eastAsia="Arial" w:hAnsi="Arial"/>
          <w:sz w:val="18"/>
          <w:szCs w:val="18"/>
          <w:b w:val="1"/>
          <w:bCs w:val="1"/>
          <w:color w:val="auto"/>
        </w:rPr>
        <w:t>1 International Drive</w:t>
      </w:r>
    </w:p>
    <w:p>
      <w:pPr>
        <w:spacing w:after="0"/>
        <w:rPr>
          <w:sz w:val="20"/>
          <w:szCs w:val="20"/>
          <w:color w:val="auto"/>
        </w:rPr>
      </w:pPr>
      <w:r>
        <w:rPr>
          <w:rFonts w:ascii="Arial" w:cs="Arial" w:eastAsia="Arial" w:hAnsi="Arial"/>
          <w:sz w:val="18"/>
          <w:szCs w:val="18"/>
          <w:b w:val="1"/>
          <w:bCs w:val="1"/>
          <w:color w:val="auto"/>
        </w:rPr>
        <w:t>Rye Brook, NY10573</w:t>
      </w: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Calibri" w:cs="Calibri" w:eastAsia="Calibri" w:hAnsi="Calibri"/>
          <w:sz w:val="18"/>
          <w:szCs w:val="18"/>
          <w:b w:val="1"/>
          <w:bCs w:val="1"/>
          <w:u w:val="single" w:color="auto"/>
          <w:color w:val="auto"/>
        </w:rPr>
        <w:t>Personal and Confdental</w:t>
      </w:r>
    </w:p>
    <w:p>
      <w:pPr>
        <w:spacing w:after="0" w:line="64" w:lineRule="exact"/>
        <w:rPr>
          <w:sz w:val="20"/>
          <w:szCs w:val="20"/>
          <w:color w:val="auto"/>
        </w:rPr>
      </w:pPr>
    </w:p>
    <w:p>
      <w:pPr>
        <w:ind w:left="140"/>
        <w:spacing w:after="0"/>
        <w:tabs>
          <w:tab w:leader="none" w:pos="660" w:val="left"/>
        </w:tabs>
        <w:rPr>
          <w:sz w:val="20"/>
          <w:szCs w:val="20"/>
          <w:color w:val="auto"/>
        </w:rPr>
      </w:pPr>
      <w:r>
        <w:rPr>
          <w:rFonts w:ascii="Calibri" w:cs="Calibri" w:eastAsia="Calibri" w:hAnsi="Calibri"/>
          <w:sz w:val="18"/>
          <w:szCs w:val="18"/>
          <w:color w:val="auto"/>
        </w:rPr>
        <w:t>Date:</w:t>
      </w:r>
      <w:r>
        <w:rPr>
          <w:sz w:val="20"/>
          <w:szCs w:val="20"/>
          <w:color w:val="auto"/>
        </w:rPr>
        <w:tab/>
      </w:r>
      <w:r>
        <w:rPr>
          <w:rFonts w:ascii="Calibri" w:cs="Calibri" w:eastAsia="Calibri" w:hAnsi="Calibri"/>
          <w:sz w:val="17"/>
          <w:szCs w:val="17"/>
          <w:color w:val="auto"/>
        </w:rPr>
        <w:t>May 4, 2022</w:t>
      </w:r>
    </w:p>
    <w:p>
      <w:pPr>
        <w:spacing w:after="0" w:line="77" w:lineRule="exact"/>
        <w:rPr>
          <w:sz w:val="20"/>
          <w:szCs w:val="20"/>
          <w:color w:val="auto"/>
        </w:rPr>
      </w:pPr>
    </w:p>
    <w:p>
      <w:pPr>
        <w:ind w:left="140"/>
        <w:spacing w:after="0"/>
        <w:tabs>
          <w:tab w:leader="none" w:pos="480" w:val="left"/>
        </w:tabs>
        <w:rPr>
          <w:sz w:val="20"/>
          <w:szCs w:val="20"/>
          <w:color w:val="auto"/>
        </w:rPr>
      </w:pPr>
      <w:r>
        <w:rPr>
          <w:rFonts w:ascii="Calibri" w:cs="Calibri" w:eastAsia="Calibri" w:hAnsi="Calibri"/>
          <w:sz w:val="18"/>
          <w:szCs w:val="18"/>
          <w:color w:val="auto"/>
        </w:rPr>
        <w:t>To:</w:t>
      </w:r>
      <w:r>
        <w:rPr>
          <w:sz w:val="20"/>
          <w:szCs w:val="20"/>
          <w:color w:val="auto"/>
        </w:rPr>
        <w:tab/>
      </w:r>
      <w:r>
        <w:rPr>
          <w:rFonts w:ascii="Calibri" w:cs="Calibri" w:eastAsia="Calibri" w:hAnsi="Calibri"/>
          <w:sz w:val="17"/>
          <w:szCs w:val="17"/>
          <w:color w:val="auto"/>
        </w:rPr>
        <w:t>Colin Sabol</w:t>
      </w:r>
    </w:p>
    <w:p>
      <w:pPr>
        <w:spacing w:after="0" w:line="64" w:lineRule="exact"/>
        <w:rPr>
          <w:sz w:val="20"/>
          <w:szCs w:val="20"/>
          <w:color w:val="auto"/>
        </w:rPr>
      </w:pPr>
    </w:p>
    <w:p>
      <w:pPr>
        <w:ind w:left="140"/>
        <w:spacing w:after="0"/>
        <w:tabs>
          <w:tab w:leader="none" w:pos="700" w:val="left"/>
        </w:tabs>
        <w:rPr>
          <w:sz w:val="20"/>
          <w:szCs w:val="20"/>
          <w:color w:val="auto"/>
        </w:rPr>
      </w:pPr>
      <w:r>
        <w:rPr>
          <w:rFonts w:ascii="Calibri" w:cs="Calibri" w:eastAsia="Calibri" w:hAnsi="Calibri"/>
          <w:sz w:val="18"/>
          <w:szCs w:val="18"/>
          <w:color w:val="auto"/>
        </w:rPr>
        <w:t>From:</w:t>
      </w:r>
      <w:r>
        <w:rPr>
          <w:sz w:val="20"/>
          <w:szCs w:val="20"/>
          <w:color w:val="auto"/>
        </w:rPr>
        <w:tab/>
      </w:r>
      <w:r>
        <w:rPr>
          <w:rFonts w:ascii="Calibri" w:cs="Calibri" w:eastAsia="Calibri" w:hAnsi="Calibri"/>
          <w:sz w:val="17"/>
          <w:szCs w:val="17"/>
          <w:color w:val="auto"/>
        </w:rPr>
        <w:t>Shan Jarvis</w:t>
      </w:r>
    </w:p>
    <w:p>
      <w:pPr>
        <w:spacing w:after="0" w:line="64" w:lineRule="exact"/>
        <w:rPr>
          <w:sz w:val="20"/>
          <w:szCs w:val="20"/>
          <w:color w:val="auto"/>
        </w:rPr>
      </w:pPr>
    </w:p>
    <w:p>
      <w:pPr>
        <w:ind w:left="140"/>
        <w:spacing w:after="0"/>
        <w:tabs>
          <w:tab w:leader="none" w:pos="840" w:val="left"/>
        </w:tabs>
        <w:rPr>
          <w:sz w:val="20"/>
          <w:szCs w:val="20"/>
          <w:color w:val="auto"/>
        </w:rPr>
      </w:pPr>
      <w:r>
        <w:rPr>
          <w:rFonts w:ascii="Calibri" w:cs="Calibri" w:eastAsia="Calibri" w:hAnsi="Calibri"/>
          <w:sz w:val="18"/>
          <w:szCs w:val="18"/>
          <w:color w:val="auto"/>
        </w:rPr>
        <w:t>Subject:</w:t>
      </w:r>
      <w:r>
        <w:rPr>
          <w:sz w:val="20"/>
          <w:szCs w:val="20"/>
          <w:color w:val="auto"/>
        </w:rPr>
        <w:tab/>
      </w:r>
      <w:r>
        <w:rPr>
          <w:rFonts w:ascii="Calibri" w:cs="Calibri" w:eastAsia="Calibri" w:hAnsi="Calibri"/>
          <w:sz w:val="17"/>
          <w:szCs w:val="17"/>
          <w:color w:val="auto"/>
        </w:rPr>
        <w:t>Separaton Documents</w:t>
      </w:r>
    </w:p>
    <w:p>
      <w:pPr>
        <w:spacing w:after="0" w:line="200" w:lineRule="exact"/>
        <w:rPr>
          <w:sz w:val="20"/>
          <w:szCs w:val="20"/>
          <w:color w:val="auto"/>
        </w:rPr>
      </w:pPr>
    </w:p>
    <w:p>
      <w:pPr>
        <w:spacing w:after="0" w:line="247" w:lineRule="exact"/>
        <w:rPr>
          <w:sz w:val="20"/>
          <w:szCs w:val="20"/>
          <w:color w:val="auto"/>
        </w:rPr>
      </w:pPr>
    </w:p>
    <w:p>
      <w:pPr>
        <w:jc w:val="both"/>
        <w:ind w:left="140"/>
        <w:spacing w:after="0" w:line="277" w:lineRule="auto"/>
        <w:rPr>
          <w:sz w:val="20"/>
          <w:szCs w:val="20"/>
          <w:color w:val="auto"/>
        </w:rPr>
      </w:pPr>
      <w:r>
        <w:rPr>
          <w:rFonts w:ascii="Calibri" w:cs="Calibri" w:eastAsia="Calibri" w:hAnsi="Calibri"/>
          <w:sz w:val="18"/>
          <w:szCs w:val="18"/>
          <w:color w:val="0E0E0E"/>
        </w:rPr>
        <w:t xml:space="preserve">Enclosed please fnd the Separaton Memorandum ("Memorandum") and Separaton Agreement and General Release ("the Release"). These documents </w:t>
      </w:r>
      <w:r>
        <w:rPr>
          <w:rFonts w:ascii="Calibri" w:cs="Calibri" w:eastAsia="Calibri" w:hAnsi="Calibri"/>
          <w:sz w:val="18"/>
          <w:szCs w:val="18"/>
          <w:color w:val="212121"/>
        </w:rPr>
        <w:t xml:space="preserve">set </w:t>
      </w:r>
      <w:r>
        <w:rPr>
          <w:rFonts w:ascii="Calibri" w:cs="Calibri" w:eastAsia="Calibri" w:hAnsi="Calibri"/>
          <w:sz w:val="18"/>
          <w:szCs w:val="18"/>
          <w:color w:val="0E0E0E"/>
        </w:rPr>
        <w:t>out the terms and benefts</w:t>
      </w:r>
      <w:r>
        <w:rPr>
          <w:rFonts w:ascii="Calibri" w:cs="Calibri" w:eastAsia="Calibri" w:hAnsi="Calibri"/>
          <w:sz w:val="18"/>
          <w:szCs w:val="18"/>
          <w:color w:val="212121"/>
        </w:rPr>
        <w:t xml:space="preserve"> we </w:t>
      </w:r>
      <w:r>
        <w:rPr>
          <w:rFonts w:ascii="Calibri" w:cs="Calibri" w:eastAsia="Calibri" w:hAnsi="Calibri"/>
          <w:sz w:val="18"/>
          <w:szCs w:val="18"/>
          <w:color w:val="0E0E0E"/>
        </w:rPr>
        <w:t>are ofering you relatve to the terminaton of your employment from</w:t>
      </w:r>
      <w:r>
        <w:rPr>
          <w:rFonts w:ascii="Calibri" w:cs="Calibri" w:eastAsia="Calibri" w:hAnsi="Calibri"/>
          <w:sz w:val="18"/>
          <w:szCs w:val="18"/>
          <w:color w:val="212121"/>
        </w:rPr>
        <w:t xml:space="preserve"> Xylem Inc., </w:t>
      </w:r>
      <w:r>
        <w:rPr>
          <w:rFonts w:ascii="Calibri" w:cs="Calibri" w:eastAsia="Calibri" w:hAnsi="Calibri"/>
          <w:sz w:val="18"/>
          <w:szCs w:val="18"/>
          <w:color w:val="0E0E0E"/>
        </w:rPr>
        <w:t>and the</w:t>
      </w:r>
      <w:r>
        <w:rPr>
          <w:rFonts w:ascii="Calibri" w:cs="Calibri" w:eastAsia="Calibri" w:hAnsi="Calibri"/>
          <w:sz w:val="18"/>
          <w:szCs w:val="18"/>
          <w:color w:val="212121"/>
        </w:rPr>
        <w:t xml:space="preserve"> conditons </w:t>
      </w:r>
      <w:r>
        <w:rPr>
          <w:rFonts w:ascii="Calibri" w:cs="Calibri" w:eastAsia="Calibri" w:hAnsi="Calibri"/>
          <w:sz w:val="18"/>
          <w:szCs w:val="18"/>
          <w:color w:val="0E0E0E"/>
        </w:rPr>
        <w:t>under which you</w:t>
      </w:r>
      <w:r>
        <w:rPr>
          <w:rFonts w:ascii="Calibri" w:cs="Calibri" w:eastAsia="Calibri" w:hAnsi="Calibri"/>
          <w:sz w:val="18"/>
          <w:szCs w:val="18"/>
          <w:color w:val="212121"/>
        </w:rPr>
        <w:t xml:space="preserve"> </w:t>
      </w:r>
      <w:r>
        <w:rPr>
          <w:rFonts w:ascii="Calibri" w:cs="Calibri" w:eastAsia="Calibri" w:hAnsi="Calibri"/>
          <w:sz w:val="18"/>
          <w:szCs w:val="18"/>
          <w:color w:val="0E0E0E"/>
        </w:rPr>
        <w:t xml:space="preserve">will be </w:t>
      </w:r>
      <w:r>
        <w:rPr>
          <w:rFonts w:ascii="Calibri" w:cs="Calibri" w:eastAsia="Calibri" w:hAnsi="Calibri"/>
          <w:sz w:val="18"/>
          <w:szCs w:val="18"/>
          <w:color w:val="212121"/>
        </w:rPr>
        <w:t>eligible</w:t>
      </w:r>
      <w:r>
        <w:rPr>
          <w:rFonts w:ascii="Calibri" w:cs="Calibri" w:eastAsia="Calibri" w:hAnsi="Calibri"/>
          <w:sz w:val="18"/>
          <w:szCs w:val="18"/>
          <w:color w:val="0E0E0E"/>
        </w:rPr>
        <w:t xml:space="preserve"> to receive </w:t>
      </w:r>
      <w:r>
        <w:rPr>
          <w:rFonts w:ascii="Calibri" w:cs="Calibri" w:eastAsia="Calibri" w:hAnsi="Calibri"/>
          <w:sz w:val="18"/>
          <w:szCs w:val="18"/>
          <w:color w:val="212121"/>
        </w:rPr>
        <w:t>severance</w:t>
      </w:r>
      <w:r>
        <w:rPr>
          <w:rFonts w:ascii="Calibri" w:cs="Calibri" w:eastAsia="Calibri" w:hAnsi="Calibri"/>
          <w:sz w:val="18"/>
          <w:szCs w:val="18"/>
          <w:color w:val="0E0E0E"/>
        </w:rPr>
        <w:t xml:space="preserve"> benefts from </w:t>
      </w:r>
      <w:r>
        <w:rPr>
          <w:rFonts w:ascii="Calibri" w:cs="Calibri" w:eastAsia="Calibri" w:hAnsi="Calibri"/>
          <w:sz w:val="18"/>
          <w:szCs w:val="18"/>
          <w:color w:val="212121"/>
        </w:rPr>
        <w:t>Xylem</w:t>
      </w:r>
      <w:r>
        <w:rPr>
          <w:rFonts w:ascii="Calibri" w:cs="Calibri" w:eastAsia="Calibri" w:hAnsi="Calibri"/>
          <w:sz w:val="18"/>
          <w:szCs w:val="18"/>
          <w:color w:val="0E0E0E"/>
        </w:rPr>
        <w:t xml:space="preserve"> Inc.</w:t>
      </w:r>
    </w:p>
    <w:p>
      <w:pPr>
        <w:spacing w:after="0" w:line="103" w:lineRule="exact"/>
        <w:rPr>
          <w:sz w:val="20"/>
          <w:szCs w:val="20"/>
          <w:color w:val="auto"/>
        </w:rPr>
      </w:pPr>
    </w:p>
    <w:p>
      <w:pPr>
        <w:jc w:val="both"/>
        <w:ind w:left="140"/>
        <w:spacing w:after="0" w:line="294" w:lineRule="auto"/>
        <w:rPr>
          <w:sz w:val="20"/>
          <w:szCs w:val="20"/>
          <w:color w:val="auto"/>
        </w:rPr>
      </w:pPr>
      <w:r>
        <w:rPr>
          <w:rFonts w:ascii="Calibri" w:cs="Calibri" w:eastAsia="Calibri" w:hAnsi="Calibri"/>
          <w:sz w:val="17"/>
          <w:szCs w:val="17"/>
          <w:color w:val="0E0E0E"/>
        </w:rPr>
        <w:t xml:space="preserve">These </w:t>
      </w:r>
      <w:r>
        <w:rPr>
          <w:rFonts w:ascii="Calibri" w:cs="Calibri" w:eastAsia="Calibri" w:hAnsi="Calibri"/>
          <w:sz w:val="17"/>
          <w:szCs w:val="17"/>
          <w:color w:val="212121"/>
        </w:rPr>
        <w:t>are confdental</w:t>
      </w:r>
      <w:r>
        <w:rPr>
          <w:rFonts w:ascii="Calibri" w:cs="Calibri" w:eastAsia="Calibri" w:hAnsi="Calibri"/>
          <w:sz w:val="17"/>
          <w:szCs w:val="17"/>
          <w:color w:val="0E0E0E"/>
        </w:rPr>
        <w:t xml:space="preserve"> legal </w:t>
      </w:r>
      <w:r>
        <w:rPr>
          <w:rFonts w:ascii="Calibri" w:cs="Calibri" w:eastAsia="Calibri" w:hAnsi="Calibri"/>
          <w:sz w:val="17"/>
          <w:szCs w:val="17"/>
          <w:color w:val="212121"/>
        </w:rPr>
        <w:t>documents, which we encourage you</w:t>
      </w:r>
      <w:r>
        <w:rPr>
          <w:rFonts w:ascii="Calibri" w:cs="Calibri" w:eastAsia="Calibri" w:hAnsi="Calibri"/>
          <w:sz w:val="17"/>
          <w:szCs w:val="17"/>
          <w:color w:val="0E0E0E"/>
        </w:rPr>
        <w:t xml:space="preserve"> to read </w:t>
      </w:r>
      <w:r>
        <w:rPr>
          <w:rFonts w:ascii="Calibri" w:cs="Calibri" w:eastAsia="Calibri" w:hAnsi="Calibri"/>
          <w:sz w:val="17"/>
          <w:szCs w:val="17"/>
          <w:color w:val="212121"/>
        </w:rPr>
        <w:t>very carefully.</w:t>
      </w:r>
      <w:r>
        <w:rPr>
          <w:rFonts w:ascii="Calibri" w:cs="Calibri" w:eastAsia="Calibri" w:hAnsi="Calibri"/>
          <w:sz w:val="17"/>
          <w:szCs w:val="17"/>
          <w:color w:val="0E0E0E"/>
        </w:rPr>
        <w:t xml:space="preserve"> You are also encouraged to have them reviewed by </w:t>
      </w:r>
      <w:r>
        <w:rPr>
          <w:rFonts w:ascii="Calibri" w:cs="Calibri" w:eastAsia="Calibri" w:hAnsi="Calibri"/>
          <w:sz w:val="17"/>
          <w:szCs w:val="17"/>
          <w:color w:val="212121"/>
        </w:rPr>
        <w:t>an</w:t>
      </w:r>
      <w:r>
        <w:rPr>
          <w:rFonts w:ascii="Calibri" w:cs="Calibri" w:eastAsia="Calibri" w:hAnsi="Calibri"/>
          <w:sz w:val="17"/>
          <w:szCs w:val="17"/>
          <w:color w:val="0E0E0E"/>
        </w:rPr>
        <w:t xml:space="preserve"> atorney of your choice. </w:t>
      </w:r>
      <w:r>
        <w:rPr>
          <w:rFonts w:ascii="Calibri" w:cs="Calibri" w:eastAsia="Calibri" w:hAnsi="Calibri"/>
          <w:sz w:val="17"/>
          <w:szCs w:val="17"/>
          <w:color w:val="212121"/>
        </w:rPr>
        <w:t>You</w:t>
      </w:r>
      <w:r>
        <w:rPr>
          <w:rFonts w:ascii="Calibri" w:cs="Calibri" w:eastAsia="Calibri" w:hAnsi="Calibri"/>
          <w:sz w:val="17"/>
          <w:szCs w:val="17"/>
          <w:color w:val="0E0E0E"/>
        </w:rPr>
        <w:t xml:space="preserve"> have 21 calendar days during which to consider the Release, </w:t>
      </w:r>
      <w:r>
        <w:rPr>
          <w:rFonts w:ascii="Calibri" w:cs="Calibri" w:eastAsia="Calibri" w:hAnsi="Calibri"/>
          <w:sz w:val="17"/>
          <w:szCs w:val="17"/>
          <w:color w:val="212121"/>
        </w:rPr>
        <w:t>although</w:t>
      </w:r>
      <w:r>
        <w:rPr>
          <w:rFonts w:ascii="Calibri" w:cs="Calibri" w:eastAsia="Calibri" w:hAnsi="Calibri"/>
          <w:sz w:val="17"/>
          <w:szCs w:val="17"/>
          <w:color w:val="0E0E0E"/>
        </w:rPr>
        <w:t xml:space="preserve"> you may </w:t>
      </w:r>
      <w:r>
        <w:rPr>
          <w:rFonts w:ascii="Calibri" w:cs="Calibri" w:eastAsia="Calibri" w:hAnsi="Calibri"/>
          <w:sz w:val="17"/>
          <w:szCs w:val="17"/>
          <w:color w:val="212121"/>
        </w:rPr>
        <w:t>sign</w:t>
      </w:r>
      <w:r>
        <w:rPr>
          <w:rFonts w:ascii="Calibri" w:cs="Calibri" w:eastAsia="Calibri" w:hAnsi="Calibri"/>
          <w:sz w:val="17"/>
          <w:szCs w:val="17"/>
          <w:color w:val="0E0E0E"/>
        </w:rPr>
        <w:t xml:space="preserve"> and return it </w:t>
      </w:r>
      <w:r>
        <w:rPr>
          <w:rFonts w:ascii="Calibri" w:cs="Calibri" w:eastAsia="Calibri" w:hAnsi="Calibri"/>
          <w:sz w:val="17"/>
          <w:szCs w:val="17"/>
          <w:color w:val="212121"/>
        </w:rPr>
        <w:t>sooner if</w:t>
      </w:r>
      <w:r>
        <w:rPr>
          <w:rFonts w:ascii="Calibri" w:cs="Calibri" w:eastAsia="Calibri" w:hAnsi="Calibri"/>
          <w:sz w:val="17"/>
          <w:szCs w:val="17"/>
          <w:color w:val="0E0E0E"/>
        </w:rPr>
        <w:t xml:space="preserve"> you choose to do </w:t>
      </w:r>
      <w:r>
        <w:rPr>
          <w:rFonts w:ascii="Calibri" w:cs="Calibri" w:eastAsia="Calibri" w:hAnsi="Calibri"/>
          <w:sz w:val="17"/>
          <w:szCs w:val="17"/>
          <w:color w:val="212121"/>
        </w:rPr>
        <w:t>so.</w:t>
      </w:r>
      <w:r>
        <w:rPr>
          <w:rFonts w:ascii="Calibri" w:cs="Calibri" w:eastAsia="Calibri" w:hAnsi="Calibri"/>
          <w:sz w:val="17"/>
          <w:szCs w:val="17"/>
          <w:color w:val="0E0E0E"/>
        </w:rPr>
        <w:t xml:space="preserve"> Additonally, </w:t>
      </w:r>
      <w:r>
        <w:rPr>
          <w:rFonts w:ascii="Calibri" w:cs="Calibri" w:eastAsia="Calibri" w:hAnsi="Calibri"/>
          <w:sz w:val="17"/>
          <w:szCs w:val="17"/>
          <w:color w:val="212121"/>
        </w:rPr>
        <w:t>you</w:t>
      </w:r>
      <w:r>
        <w:rPr>
          <w:rFonts w:ascii="Calibri" w:cs="Calibri" w:eastAsia="Calibri" w:hAnsi="Calibri"/>
          <w:sz w:val="17"/>
          <w:szCs w:val="17"/>
          <w:color w:val="0E0E0E"/>
        </w:rPr>
        <w:t xml:space="preserve"> also have 7 calendar days to revoke the Release afer </w:t>
      </w:r>
      <w:r>
        <w:rPr>
          <w:rFonts w:ascii="Calibri" w:cs="Calibri" w:eastAsia="Calibri" w:hAnsi="Calibri"/>
          <w:sz w:val="17"/>
          <w:szCs w:val="17"/>
          <w:color w:val="212121"/>
        </w:rPr>
        <w:t>signing it.</w:t>
      </w:r>
      <w:r>
        <w:rPr>
          <w:rFonts w:ascii="Calibri" w:cs="Calibri" w:eastAsia="Calibri" w:hAnsi="Calibri"/>
          <w:sz w:val="17"/>
          <w:szCs w:val="17"/>
          <w:color w:val="0E0E0E"/>
        </w:rPr>
        <w:t xml:space="preserve"> Should you decide to accept the benefts described in </w:t>
      </w:r>
      <w:r>
        <w:rPr>
          <w:rFonts w:ascii="Calibri" w:cs="Calibri" w:eastAsia="Calibri" w:hAnsi="Calibri"/>
          <w:sz w:val="17"/>
          <w:szCs w:val="17"/>
          <w:color w:val="212121"/>
        </w:rPr>
        <w:t>the</w:t>
      </w:r>
      <w:r>
        <w:rPr>
          <w:rFonts w:ascii="Calibri" w:cs="Calibri" w:eastAsia="Calibri" w:hAnsi="Calibri"/>
          <w:sz w:val="17"/>
          <w:szCs w:val="17"/>
          <w:color w:val="0E0E0E"/>
        </w:rPr>
        <w:t xml:space="preserve"> Memorandum, please </w:t>
      </w:r>
      <w:r>
        <w:rPr>
          <w:rFonts w:ascii="Calibri" w:cs="Calibri" w:eastAsia="Calibri" w:hAnsi="Calibri"/>
          <w:sz w:val="17"/>
          <w:szCs w:val="17"/>
          <w:color w:val="212121"/>
        </w:rPr>
        <w:t>sign</w:t>
      </w:r>
      <w:r>
        <w:rPr>
          <w:rFonts w:ascii="Calibri" w:cs="Calibri" w:eastAsia="Calibri" w:hAnsi="Calibri"/>
          <w:sz w:val="17"/>
          <w:szCs w:val="17"/>
          <w:color w:val="0E0E0E"/>
        </w:rPr>
        <w:t xml:space="preserve"> both copies, </w:t>
      </w:r>
      <w:r>
        <w:rPr>
          <w:rFonts w:ascii="Calibri" w:cs="Calibri" w:eastAsia="Calibri" w:hAnsi="Calibri"/>
          <w:sz w:val="17"/>
          <w:szCs w:val="17"/>
          <w:color w:val="212121"/>
        </w:rPr>
        <w:t>and</w:t>
      </w:r>
      <w:r>
        <w:rPr>
          <w:rFonts w:ascii="Calibri" w:cs="Calibri" w:eastAsia="Calibri" w:hAnsi="Calibri"/>
          <w:sz w:val="17"/>
          <w:szCs w:val="17"/>
          <w:color w:val="0E0E0E"/>
        </w:rPr>
        <w:t xml:space="preserve"> return them to me no later than May 5, </w:t>
      </w:r>
      <w:r>
        <w:rPr>
          <w:rFonts w:ascii="Calibri" w:cs="Calibri" w:eastAsia="Calibri" w:hAnsi="Calibri"/>
          <w:sz w:val="17"/>
          <w:szCs w:val="17"/>
          <w:color w:val="212121"/>
        </w:rPr>
        <w:t>2022.</w:t>
      </w:r>
      <w:r>
        <w:rPr>
          <w:rFonts w:ascii="Calibri" w:cs="Calibri" w:eastAsia="Calibri" w:hAnsi="Calibri"/>
          <w:sz w:val="17"/>
          <w:szCs w:val="17"/>
          <w:color w:val="0E0E0E"/>
        </w:rPr>
        <w:t xml:space="preserve"> We will then forward a </w:t>
      </w:r>
      <w:r>
        <w:rPr>
          <w:rFonts w:ascii="Calibri" w:cs="Calibri" w:eastAsia="Calibri" w:hAnsi="Calibri"/>
          <w:sz w:val="17"/>
          <w:szCs w:val="17"/>
          <w:color w:val="212121"/>
        </w:rPr>
        <w:t>signed</w:t>
      </w:r>
      <w:r>
        <w:rPr>
          <w:rFonts w:ascii="Calibri" w:cs="Calibri" w:eastAsia="Calibri" w:hAnsi="Calibri"/>
          <w:sz w:val="17"/>
          <w:szCs w:val="17"/>
          <w:color w:val="0E0E0E"/>
        </w:rPr>
        <w:t xml:space="preserve"> copy back to you for </w:t>
      </w:r>
      <w:r>
        <w:rPr>
          <w:rFonts w:ascii="Calibri" w:cs="Calibri" w:eastAsia="Calibri" w:hAnsi="Calibri"/>
          <w:sz w:val="17"/>
          <w:szCs w:val="17"/>
          <w:color w:val="212121"/>
        </w:rPr>
        <w:t>your</w:t>
      </w:r>
      <w:r>
        <w:rPr>
          <w:rFonts w:ascii="Calibri" w:cs="Calibri" w:eastAsia="Calibri" w:hAnsi="Calibri"/>
          <w:sz w:val="17"/>
          <w:szCs w:val="17"/>
          <w:color w:val="0E0E0E"/>
        </w:rPr>
        <w:t xml:space="preserve"> records</w:t>
      </w:r>
      <w:r>
        <w:rPr>
          <w:rFonts w:ascii="Calibri" w:cs="Calibri" w:eastAsia="Calibri" w:hAnsi="Calibri"/>
          <w:sz w:val="17"/>
          <w:szCs w:val="17"/>
          <w:color w:val="404040"/>
        </w:rPr>
        <w:t>.</w:t>
      </w:r>
    </w:p>
    <w:p>
      <w:pPr>
        <w:spacing w:after="0" w:line="117" w:lineRule="exact"/>
        <w:rPr>
          <w:sz w:val="20"/>
          <w:szCs w:val="20"/>
          <w:color w:val="auto"/>
        </w:rPr>
      </w:pPr>
    </w:p>
    <w:p>
      <w:pPr>
        <w:jc w:val="both"/>
        <w:ind w:left="140" w:right="20"/>
        <w:spacing w:after="0" w:line="274" w:lineRule="auto"/>
        <w:rPr>
          <w:sz w:val="20"/>
          <w:szCs w:val="20"/>
          <w:color w:val="auto"/>
        </w:rPr>
      </w:pPr>
      <w:r>
        <w:rPr>
          <w:rFonts w:ascii="Calibri" w:cs="Calibri" w:eastAsia="Calibri" w:hAnsi="Calibri"/>
          <w:sz w:val="18"/>
          <w:szCs w:val="18"/>
          <w:color w:val="0E0E0E"/>
        </w:rPr>
        <w:t xml:space="preserve">While </w:t>
      </w:r>
      <w:r>
        <w:rPr>
          <w:rFonts w:ascii="Calibri" w:cs="Calibri" w:eastAsia="Calibri" w:hAnsi="Calibri"/>
          <w:sz w:val="18"/>
          <w:szCs w:val="18"/>
          <w:color w:val="212121"/>
        </w:rPr>
        <w:t>your acceptance</w:t>
      </w:r>
      <w:r>
        <w:rPr>
          <w:rFonts w:ascii="Calibri" w:cs="Calibri" w:eastAsia="Calibri" w:hAnsi="Calibri"/>
          <w:sz w:val="18"/>
          <w:szCs w:val="18"/>
          <w:color w:val="0E0E0E"/>
        </w:rPr>
        <w:t xml:space="preserve"> of the terms of the </w:t>
      </w:r>
      <w:r>
        <w:rPr>
          <w:rFonts w:ascii="Calibri" w:cs="Calibri" w:eastAsia="Calibri" w:hAnsi="Calibri"/>
          <w:sz w:val="18"/>
          <w:szCs w:val="18"/>
          <w:color w:val="212121"/>
        </w:rPr>
        <w:t>Memorandum and</w:t>
      </w:r>
      <w:r>
        <w:rPr>
          <w:rFonts w:ascii="Calibri" w:cs="Calibri" w:eastAsia="Calibri" w:hAnsi="Calibri"/>
          <w:sz w:val="18"/>
          <w:szCs w:val="18"/>
          <w:color w:val="0E0E0E"/>
        </w:rPr>
        <w:t xml:space="preserve"> Release is voluntary, to receive these benefts you must return the </w:t>
      </w:r>
      <w:r>
        <w:rPr>
          <w:rFonts w:ascii="Calibri" w:cs="Calibri" w:eastAsia="Calibri" w:hAnsi="Calibri"/>
          <w:sz w:val="18"/>
          <w:szCs w:val="18"/>
          <w:color w:val="212121"/>
        </w:rPr>
        <w:t>signed</w:t>
      </w:r>
      <w:r>
        <w:rPr>
          <w:rFonts w:ascii="Calibri" w:cs="Calibri" w:eastAsia="Calibri" w:hAnsi="Calibri"/>
          <w:sz w:val="18"/>
          <w:szCs w:val="18"/>
          <w:color w:val="0E0E0E"/>
        </w:rPr>
        <w:t xml:space="preserve"> Release on or before the date indicated in that document.</w:t>
      </w:r>
    </w:p>
    <w:p>
      <w:pPr>
        <w:spacing w:after="0" w:line="119" w:lineRule="exact"/>
        <w:rPr>
          <w:sz w:val="20"/>
          <w:szCs w:val="20"/>
          <w:color w:val="auto"/>
        </w:rPr>
      </w:pPr>
    </w:p>
    <w:p>
      <w:pPr>
        <w:jc w:val="both"/>
        <w:ind w:left="140"/>
        <w:spacing w:after="0" w:line="289" w:lineRule="auto"/>
        <w:rPr>
          <w:sz w:val="20"/>
          <w:szCs w:val="20"/>
          <w:color w:val="auto"/>
        </w:rPr>
      </w:pPr>
      <w:r>
        <w:rPr>
          <w:rFonts w:ascii="Calibri" w:cs="Calibri" w:eastAsia="Calibri" w:hAnsi="Calibri"/>
          <w:sz w:val="18"/>
          <w:szCs w:val="18"/>
          <w:color w:val="0E0E0E"/>
        </w:rPr>
        <w:t xml:space="preserve">Please </w:t>
      </w:r>
      <w:r>
        <w:rPr>
          <w:rFonts w:ascii="Calibri" w:cs="Calibri" w:eastAsia="Calibri" w:hAnsi="Calibri"/>
          <w:sz w:val="18"/>
          <w:szCs w:val="18"/>
          <w:color w:val="212121"/>
        </w:rPr>
        <w:t>call</w:t>
      </w:r>
      <w:r>
        <w:rPr>
          <w:rFonts w:ascii="Calibri" w:cs="Calibri" w:eastAsia="Calibri" w:hAnsi="Calibri"/>
          <w:sz w:val="18"/>
          <w:szCs w:val="18"/>
          <w:color w:val="0E0E0E"/>
        </w:rPr>
        <w:t xml:space="preserve"> me </w:t>
      </w:r>
      <w:r>
        <w:rPr>
          <w:rFonts w:ascii="Calibri" w:cs="Calibri" w:eastAsia="Calibri" w:hAnsi="Calibri"/>
          <w:sz w:val="18"/>
          <w:szCs w:val="18"/>
          <w:color w:val="212121"/>
        </w:rPr>
        <w:t>should</w:t>
      </w:r>
      <w:r>
        <w:rPr>
          <w:rFonts w:ascii="Calibri" w:cs="Calibri" w:eastAsia="Calibri" w:hAnsi="Calibri"/>
          <w:sz w:val="18"/>
          <w:szCs w:val="18"/>
          <w:color w:val="0E0E0E"/>
        </w:rPr>
        <w:t xml:space="preserve"> you have </w:t>
      </w:r>
      <w:r>
        <w:rPr>
          <w:rFonts w:ascii="Calibri" w:cs="Calibri" w:eastAsia="Calibri" w:hAnsi="Calibri"/>
          <w:sz w:val="18"/>
          <w:szCs w:val="18"/>
          <w:color w:val="212121"/>
        </w:rPr>
        <w:t>any</w:t>
      </w:r>
      <w:r>
        <w:rPr>
          <w:rFonts w:ascii="Calibri" w:cs="Calibri" w:eastAsia="Calibri" w:hAnsi="Calibri"/>
          <w:sz w:val="18"/>
          <w:szCs w:val="18"/>
          <w:color w:val="0E0E0E"/>
        </w:rPr>
        <w:t xml:space="preserve"> questons related to this mater. Lastly, please </w:t>
      </w:r>
      <w:r>
        <w:rPr>
          <w:rFonts w:ascii="Calibri" w:cs="Calibri" w:eastAsia="Calibri" w:hAnsi="Calibri"/>
          <w:sz w:val="18"/>
          <w:szCs w:val="18"/>
          <w:color w:val="212121"/>
        </w:rPr>
        <w:t>sign one</w:t>
      </w:r>
      <w:r>
        <w:rPr>
          <w:rFonts w:ascii="Calibri" w:cs="Calibri" w:eastAsia="Calibri" w:hAnsi="Calibri"/>
          <w:sz w:val="18"/>
          <w:szCs w:val="18"/>
          <w:color w:val="0E0E0E"/>
        </w:rPr>
        <w:t xml:space="preserve"> copy </w:t>
      </w:r>
      <w:r>
        <w:rPr>
          <w:rFonts w:ascii="Calibri" w:cs="Calibri" w:eastAsia="Calibri" w:hAnsi="Calibri"/>
          <w:sz w:val="18"/>
          <w:szCs w:val="18"/>
          <w:color w:val="212121"/>
        </w:rPr>
        <w:t>of</w:t>
      </w:r>
      <w:r>
        <w:rPr>
          <w:rFonts w:ascii="Calibri" w:cs="Calibri" w:eastAsia="Calibri" w:hAnsi="Calibri"/>
          <w:sz w:val="18"/>
          <w:szCs w:val="18"/>
          <w:color w:val="0E0E0E"/>
        </w:rPr>
        <w:t xml:space="preserve"> this leter below, </w:t>
      </w:r>
      <w:r>
        <w:rPr>
          <w:rFonts w:ascii="Calibri" w:cs="Calibri" w:eastAsia="Calibri" w:hAnsi="Calibri"/>
          <w:sz w:val="18"/>
          <w:szCs w:val="18"/>
          <w:color w:val="212121"/>
        </w:rPr>
        <w:t>signifying</w:t>
      </w:r>
      <w:r>
        <w:rPr>
          <w:rFonts w:ascii="Calibri" w:cs="Calibri" w:eastAsia="Calibri" w:hAnsi="Calibri"/>
          <w:sz w:val="18"/>
          <w:szCs w:val="18"/>
          <w:color w:val="0E0E0E"/>
        </w:rPr>
        <w:t xml:space="preserve"> your receipt of this informaton.</w:t>
      </w:r>
    </w:p>
    <w:p>
      <w:pPr>
        <w:spacing w:after="0" w:line="200" w:lineRule="exact"/>
        <w:rPr>
          <w:sz w:val="20"/>
          <w:szCs w:val="20"/>
          <w:color w:val="auto"/>
        </w:rPr>
      </w:pPr>
    </w:p>
    <w:p>
      <w:pPr>
        <w:spacing w:after="0" w:line="238" w:lineRule="exact"/>
        <w:rPr>
          <w:sz w:val="20"/>
          <w:szCs w:val="20"/>
          <w:color w:val="auto"/>
        </w:rPr>
      </w:pPr>
    </w:p>
    <w:p>
      <w:pPr>
        <w:ind w:left="4640"/>
        <w:spacing w:after="0"/>
        <w:rPr>
          <w:sz w:val="20"/>
          <w:szCs w:val="20"/>
          <w:color w:val="auto"/>
        </w:rPr>
      </w:pPr>
      <w:r>
        <w:rPr>
          <w:rFonts w:ascii="Calibri" w:cs="Calibri" w:eastAsia="Calibri" w:hAnsi="Calibri"/>
          <w:sz w:val="18"/>
          <w:szCs w:val="18"/>
          <w:color w:val="212121"/>
        </w:rPr>
        <w:t>Sincerely,</w:t>
      </w:r>
    </w:p>
    <w:p>
      <w:pPr>
        <w:spacing w:after="0" w:line="23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32"/>
          <w:szCs w:val="32"/>
          <w:color w:val="auto"/>
        </w:rPr>
        <w:t>Shan Jarvis</w:t>
      </w:r>
    </w:p>
    <w:p>
      <w:pPr>
        <w:spacing w:after="0" w:line="51" w:lineRule="exact"/>
        <w:rPr>
          <w:sz w:val="20"/>
          <w:szCs w:val="20"/>
          <w:color w:val="auto"/>
        </w:rPr>
      </w:pPr>
    </w:p>
    <w:p>
      <w:pPr>
        <w:ind w:left="4720"/>
        <w:spacing w:after="0"/>
        <w:rPr>
          <w:sz w:val="20"/>
          <w:szCs w:val="20"/>
          <w:color w:val="auto"/>
        </w:rPr>
      </w:pPr>
      <w:r>
        <w:rPr>
          <w:rFonts w:ascii="Calibri" w:cs="Calibri" w:eastAsia="Calibri" w:hAnsi="Calibri"/>
          <w:sz w:val="18"/>
          <w:szCs w:val="18"/>
          <w:color w:val="0E0E0E"/>
        </w:rPr>
        <w:t>Shan Jarvis</w:t>
      </w:r>
    </w:p>
    <w:p>
      <w:pPr>
        <w:spacing w:after="0" w:line="64" w:lineRule="exact"/>
        <w:rPr>
          <w:sz w:val="20"/>
          <w:szCs w:val="20"/>
          <w:color w:val="auto"/>
        </w:rPr>
      </w:pPr>
    </w:p>
    <w:p>
      <w:pPr>
        <w:ind w:left="4720"/>
        <w:spacing w:after="0"/>
        <w:rPr>
          <w:sz w:val="20"/>
          <w:szCs w:val="20"/>
          <w:color w:val="auto"/>
        </w:rPr>
      </w:pPr>
      <w:r>
        <w:rPr>
          <w:rFonts w:ascii="Calibri" w:cs="Calibri" w:eastAsia="Calibri" w:hAnsi="Calibri"/>
          <w:sz w:val="18"/>
          <w:szCs w:val="18"/>
          <w:color w:val="212121"/>
        </w:rPr>
        <w:t xml:space="preserve">Vice </w:t>
      </w:r>
      <w:r>
        <w:rPr>
          <w:rFonts w:ascii="Calibri" w:cs="Calibri" w:eastAsia="Calibri" w:hAnsi="Calibri"/>
          <w:sz w:val="18"/>
          <w:szCs w:val="18"/>
          <w:color w:val="0E0E0E"/>
        </w:rPr>
        <w:t>President, Global Compensaton &amp; Benefts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alibri" w:cs="Calibri" w:eastAsia="Calibri" w:hAnsi="Calibri"/>
          <w:sz w:val="18"/>
          <w:szCs w:val="18"/>
          <w:color w:val="auto"/>
        </w:rPr>
        <w:t>Enclosures</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EMPLOYEE: Colin Sabol</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440" w:type="dxa"/>
            <w:vAlign w:val="bottom"/>
            <w:tcBorders>
              <w:bottom w:val="single" w:sz="8" w:color="auto"/>
            </w:tcBorders>
          </w:tcPr>
          <w:p>
            <w:pPr>
              <w:spacing w:after="0"/>
              <w:rPr>
                <w:sz w:val="20"/>
                <w:szCs w:val="20"/>
                <w:color w:val="auto"/>
              </w:rPr>
            </w:pPr>
            <w:r>
              <w:rPr>
                <w:rFonts w:ascii="Calibri" w:cs="Calibri" w:eastAsia="Calibri" w:hAnsi="Calibri"/>
                <w:sz w:val="20"/>
                <w:szCs w:val="20"/>
                <w:color w:val="auto"/>
              </w:rPr>
              <w:t>/s/ Colin R. Sabol</w:t>
            </w:r>
          </w:p>
        </w:tc>
        <w:tc>
          <w:tcPr>
            <w:tcW w:w="1300" w:type="dxa"/>
            <w:vAlign w:val="bottom"/>
          </w:tcPr>
          <w:p>
            <w:pPr>
              <w:spacing w:after="0"/>
              <w:rPr>
                <w:sz w:val="21"/>
                <w:szCs w:val="21"/>
                <w:color w:val="auto"/>
              </w:rPr>
            </w:pPr>
          </w:p>
        </w:tc>
        <w:tc>
          <w:tcPr>
            <w:tcW w:w="1180" w:type="dxa"/>
            <w:vAlign w:val="bottom"/>
            <w:tcBorders>
              <w:bottom w:val="single" w:sz="8" w:color="auto"/>
            </w:tcBorders>
          </w:tcPr>
          <w:p>
            <w:pPr>
              <w:ind w:left="180"/>
              <w:spacing w:after="0"/>
              <w:rPr>
                <w:sz w:val="20"/>
                <w:szCs w:val="20"/>
                <w:color w:val="auto"/>
              </w:rPr>
            </w:pPr>
            <w:r>
              <w:rPr>
                <w:rFonts w:ascii="Calibri" w:cs="Calibri" w:eastAsia="Calibri" w:hAnsi="Calibri"/>
                <w:sz w:val="20"/>
                <w:szCs w:val="20"/>
                <w:color w:val="auto"/>
                <w:w w:val="97"/>
              </w:rPr>
              <w:t>May 5, 2022</w:t>
            </w:r>
          </w:p>
        </w:tc>
      </w:tr>
      <w:tr>
        <w:trPr>
          <w:trHeight w:val="213"/>
        </w:trPr>
        <w:tc>
          <w:tcPr>
            <w:tcW w:w="1440" w:type="dxa"/>
            <w:vAlign w:val="bottom"/>
          </w:tcPr>
          <w:p>
            <w:pPr>
              <w:spacing w:after="0" w:line="213" w:lineRule="exact"/>
              <w:rPr>
                <w:sz w:val="20"/>
                <w:szCs w:val="20"/>
                <w:color w:val="auto"/>
              </w:rPr>
            </w:pPr>
            <w:r>
              <w:rPr>
                <w:rFonts w:ascii="Calibri" w:cs="Calibri" w:eastAsia="Calibri" w:hAnsi="Calibri"/>
                <w:sz w:val="18"/>
                <w:szCs w:val="18"/>
                <w:color w:val="181618"/>
                <w:w w:val="97"/>
              </w:rPr>
              <w:t>Employee Signature</w:t>
            </w:r>
          </w:p>
        </w:tc>
        <w:tc>
          <w:tcPr>
            <w:tcW w:w="2480" w:type="dxa"/>
            <w:vAlign w:val="bottom"/>
            <w:gridSpan w:val="2"/>
          </w:tcPr>
          <w:p>
            <w:pPr>
              <w:ind w:left="1180"/>
              <w:spacing w:after="0" w:line="213" w:lineRule="exact"/>
              <w:rPr>
                <w:sz w:val="20"/>
                <w:szCs w:val="20"/>
                <w:color w:val="auto"/>
              </w:rPr>
            </w:pPr>
            <w:r>
              <w:rPr>
                <w:rFonts w:ascii="Calibri" w:cs="Calibri" w:eastAsia="Calibri" w:hAnsi="Calibri"/>
                <w:sz w:val="18"/>
                <w:szCs w:val="18"/>
                <w:color w:val="181618"/>
              </w:rPr>
              <w:t>Date</w:t>
            </w:r>
          </w:p>
        </w:tc>
      </w:tr>
    </w:tbl>
    <w:p>
      <w:pPr>
        <w:sectPr>
          <w:pgSz w:w="11900" w:h="16838" w:orient="portrait"/>
          <w:cols w:equalWidth="0" w:num="1">
            <w:col w:w="11140"/>
          </w:cols>
          <w:pgMar w:left="320" w:top="153" w:right="439" w:bottom="1440" w:gutter="0" w:footer="0" w:header="0"/>
        </w:sectPr>
      </w:pPr>
    </w:p>
    <w:bookmarkStart w:id="72" w:name="page73"/>
    <w:bookmarkEnd w:id="72"/>
    <w:p>
      <w:pPr>
        <w:spacing w:after="0"/>
        <w:rPr>
          <w:sz w:val="20"/>
          <w:szCs w:val="20"/>
          <w:color w:val="auto"/>
        </w:rPr>
      </w:pPr>
      <w:r>
        <w:rPr>
          <w:rFonts w:ascii="Calibri" w:cs="Calibri" w:eastAsia="Calibri" w:hAnsi="Calibri"/>
          <w:sz w:val="18"/>
          <w:szCs w:val="18"/>
          <w:b w:val="1"/>
          <w:bCs w:val="1"/>
          <w:u w:val="single" w:color="auto"/>
          <w:color w:val="auto"/>
        </w:rPr>
        <w:t>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b w:val="1"/>
          <w:bCs w:val="1"/>
          <w:color w:val="auto"/>
        </w:rPr>
        <w:t>Separaton Agreement and General Release</w:t>
      </w:r>
    </w:p>
    <w:p>
      <w:pPr>
        <w:spacing w:after="0" w:line="96" w:lineRule="exact"/>
        <w:rPr>
          <w:sz w:val="20"/>
          <w:szCs w:val="20"/>
          <w:color w:val="auto"/>
        </w:rPr>
      </w:pPr>
    </w:p>
    <w:p>
      <w:pPr>
        <w:jc w:val="both"/>
        <w:ind w:left="100"/>
        <w:spacing w:after="0" w:line="206" w:lineRule="auto"/>
        <w:rPr>
          <w:sz w:val="20"/>
          <w:szCs w:val="20"/>
          <w:color w:val="auto"/>
        </w:rPr>
      </w:pPr>
      <w:r>
        <w:rPr>
          <w:rFonts w:ascii="Calibri" w:cs="Calibri" w:eastAsia="Calibri" w:hAnsi="Calibri"/>
          <w:sz w:val="18"/>
          <w:szCs w:val="18"/>
          <w:color w:val="auto"/>
        </w:rPr>
        <w:t>This Separaton Agreement and General Release ("Release") is made and entered into by and between Xylem Inc. ("Xylem" or the "Company") and Employee (referred to herein in the frst person). Capitalized terms herein are defned as specifed in this Release or the Separaton Memorandum (“Memorandum”) entered into between Xylem and me (the “Memorandum”) to which this Release is atached and incorporated by reference. In consideraton of the mutual promises contained herein, it is agreed as follows:</w:t>
      </w:r>
    </w:p>
    <w:p>
      <w:pPr>
        <w:spacing w:after="0" w:line="10" w:lineRule="exact"/>
        <w:rPr>
          <w:sz w:val="20"/>
          <w:szCs w:val="20"/>
          <w:color w:val="auto"/>
        </w:rPr>
      </w:pPr>
    </w:p>
    <w:p>
      <w:pPr>
        <w:ind w:left="400" w:hanging="306"/>
        <w:spacing w:after="0"/>
        <w:tabs>
          <w:tab w:leader="none" w:pos="40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I will be employed with Xylem through the Terminaton Date set forth in the Memorandum.</w:t>
      </w:r>
    </w:p>
    <w:p>
      <w:pPr>
        <w:spacing w:after="0" w:line="9" w:lineRule="exact"/>
        <w:rPr>
          <w:rFonts w:ascii="Calibri" w:cs="Calibri" w:eastAsia="Calibri" w:hAnsi="Calibri"/>
          <w:sz w:val="18"/>
          <w:szCs w:val="18"/>
          <w:color w:val="auto"/>
        </w:rPr>
      </w:pPr>
    </w:p>
    <w:p>
      <w:pPr>
        <w:ind w:left="400" w:hanging="306"/>
        <w:spacing w:after="0"/>
        <w:tabs>
          <w:tab w:leader="none" w:pos="40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I agree to the following:</w:t>
      </w:r>
    </w:p>
    <w:p>
      <w:pPr>
        <w:spacing w:after="0" w:line="14" w:lineRule="exact"/>
        <w:rPr>
          <w:rFonts w:ascii="Calibri" w:cs="Calibri" w:eastAsia="Calibri" w:hAnsi="Calibri"/>
          <w:sz w:val="18"/>
          <w:szCs w:val="18"/>
          <w:color w:val="auto"/>
        </w:rPr>
      </w:pPr>
    </w:p>
    <w:p>
      <w:pPr>
        <w:jc w:val="both"/>
        <w:ind w:left="740" w:hanging="323"/>
        <w:spacing w:after="0" w:line="223" w:lineRule="auto"/>
        <w:tabs>
          <w:tab w:leader="none" w:pos="728" w:val="left"/>
        </w:tabs>
        <w:numPr>
          <w:ilvl w:val="1"/>
          <w:numId w:val="41"/>
        </w:numPr>
        <w:rPr>
          <w:rFonts w:ascii="Calibri" w:cs="Calibri" w:eastAsia="Calibri" w:hAnsi="Calibri"/>
          <w:sz w:val="17"/>
          <w:szCs w:val="17"/>
          <w:color w:val="auto"/>
        </w:rPr>
      </w:pPr>
      <w:r>
        <w:rPr>
          <w:rFonts w:ascii="Calibri" w:cs="Calibri" w:eastAsia="Calibri" w:hAnsi="Calibri"/>
          <w:sz w:val="17"/>
          <w:szCs w:val="17"/>
          <w:color w:val="auto"/>
        </w:rPr>
        <w:t>I am not eligible and will not receive any compensaton, fringe benefts, employee benefts, any pay in lieu of notce, or any severance or terminaton pay except as provided in the Memorandum. I agree and acknowledge that the payments and benefts set forth in the Memorandum consttute good and sufcient consideraton for all of my promises, obligatons, and covenants set forth in the Memorandum and in this Release.</w:t>
      </w:r>
    </w:p>
    <w:p>
      <w:pPr>
        <w:spacing w:after="0" w:line="15" w:lineRule="exact"/>
        <w:rPr>
          <w:rFonts w:ascii="Calibri" w:cs="Calibri" w:eastAsia="Calibri" w:hAnsi="Calibri"/>
          <w:sz w:val="17"/>
          <w:szCs w:val="17"/>
          <w:color w:val="auto"/>
        </w:rPr>
      </w:pPr>
    </w:p>
    <w:p>
      <w:pPr>
        <w:jc w:val="both"/>
        <w:ind w:left="740" w:hanging="323"/>
        <w:spacing w:after="0" w:line="200" w:lineRule="auto"/>
        <w:tabs>
          <w:tab w:leader="none" w:pos="723" w:val="left"/>
        </w:tabs>
        <w:numPr>
          <w:ilvl w:val="1"/>
          <w:numId w:val="41"/>
        </w:numPr>
        <w:rPr>
          <w:rFonts w:ascii="Calibri" w:cs="Calibri" w:eastAsia="Calibri" w:hAnsi="Calibri"/>
          <w:sz w:val="18"/>
          <w:szCs w:val="18"/>
          <w:color w:val="auto"/>
        </w:rPr>
      </w:pPr>
      <w:r>
        <w:rPr>
          <w:rFonts w:ascii="Calibri" w:cs="Calibri" w:eastAsia="Calibri" w:hAnsi="Calibri"/>
          <w:sz w:val="18"/>
          <w:szCs w:val="18"/>
          <w:color w:val="auto"/>
        </w:rPr>
        <w:t>On behalf of myself and my heirs, executors, administrators, personal and legal representatves, successors and assigns, I waive, release and forever discharge Xylem, its current and former subsidiaries, afliates, divisions and related enttes and their predecessors, successors and assigns, and all of their past and present ofcers, directors, shareholders, agents, representatves, administrators, employees, insurers, atorneys, and beneft plans (collectvely "Releasees") from any and all claims, demands, debts, liabilites, obligatons, expenses (including atorney's fees and costs), promises, covenants, controversies, grievances, claims, suits, actons or causes of acton, in law or in equity, known or unknown to me, foreseen or unforeseen, contngent or not contngent, liquidated or not liquidated, which I may have had in the past, may have now, or may in the future claim to have against Releasees, arising with respect to any incident, event, act or omission occurring at any tme prior to my signing of this Release. This Release shall not operate as a release or waiver of claims or rights that may arise afer the date of its executon, for vested benefts or other applicable beneft plan enttlements, for indemnifcaton pursuant to Company policy or applicable law, for coverage under any directors' and ofcers' liability or any fduciary liability insurance policies in accordance with the terms of such policy, or any rights I may have as a shareholder in a public company (collectvely, the "Reserved Rights") and this Release shall not afect my right to seek enforcement of the terms and conditons of the Memorandum, this Release or the Reserved Rights.</w:t>
      </w:r>
    </w:p>
    <w:p>
      <w:pPr>
        <w:spacing w:after="0" w:line="16" w:lineRule="exact"/>
        <w:rPr>
          <w:rFonts w:ascii="Calibri" w:cs="Calibri" w:eastAsia="Calibri" w:hAnsi="Calibri"/>
          <w:sz w:val="18"/>
          <w:szCs w:val="18"/>
          <w:color w:val="auto"/>
        </w:rPr>
      </w:pPr>
    </w:p>
    <w:p>
      <w:pPr>
        <w:jc w:val="both"/>
        <w:ind w:left="740" w:hanging="322"/>
        <w:spacing w:after="0" w:line="199" w:lineRule="auto"/>
        <w:tabs>
          <w:tab w:leader="none" w:pos="732" w:val="left"/>
        </w:tabs>
        <w:numPr>
          <w:ilvl w:val="1"/>
          <w:numId w:val="41"/>
        </w:numPr>
        <w:rPr>
          <w:rFonts w:ascii="Calibri" w:cs="Calibri" w:eastAsia="Calibri" w:hAnsi="Calibri"/>
          <w:sz w:val="18"/>
          <w:szCs w:val="18"/>
          <w:color w:val="auto"/>
        </w:rPr>
      </w:pPr>
      <w:r>
        <w:rPr>
          <w:rFonts w:ascii="Calibri" w:cs="Calibri" w:eastAsia="Calibri" w:hAnsi="Calibri"/>
          <w:sz w:val="18"/>
          <w:szCs w:val="18"/>
          <w:color w:val="auto"/>
        </w:rPr>
        <w:t>This Release specifcally includes, but is not limited to, any and all claims and causes of acton arising under tort or contract law, other common law claims, including without limitaton wrongful discharge claims, and claims under specifc statutes prohibitng discriminaton based on sex, color, race, natonal origin, religion, disability, veteran status, age, gender identty, sexual orientaton, marital status, genetc informaton, citzenship status or other protected characteristcs including without limitaton, the Americans With Disabilites Act, the Age Discriminaton in Employment Act of 1967, Title VII of the Civil Rights Act of 1964, the Civil Rights Acts of 1866 and 1871, the Equal Pay Act, Fair Labor Standards Act of 1938, the Worker Adjustment and Retraining Notfcaton Act of 1988, the Employee Retrement Income Security Act of 1974, the Family Medical Leave Act of 1993; (all as amended); or any other federal, state, city, or local laws. This Release specifcally includes but is not limited to all claims and causes of acton under these laws and any contractual or tort claims arising under common law, including but not limited to wrongful discharge.</w:t>
      </w:r>
    </w:p>
    <w:p>
      <w:pPr>
        <w:spacing w:after="0" w:line="34" w:lineRule="exact"/>
        <w:rPr>
          <w:rFonts w:ascii="Calibri" w:cs="Calibri" w:eastAsia="Calibri" w:hAnsi="Calibri"/>
          <w:sz w:val="18"/>
          <w:szCs w:val="18"/>
          <w:color w:val="auto"/>
        </w:rPr>
      </w:pPr>
    </w:p>
    <w:p>
      <w:pPr>
        <w:jc w:val="both"/>
        <w:ind w:left="740" w:hanging="323"/>
        <w:spacing w:after="0" w:line="201" w:lineRule="auto"/>
        <w:tabs>
          <w:tab w:leader="none" w:pos="723" w:val="left"/>
        </w:tabs>
        <w:numPr>
          <w:ilvl w:val="1"/>
          <w:numId w:val="41"/>
        </w:numPr>
        <w:rPr>
          <w:rFonts w:ascii="Calibri" w:cs="Calibri" w:eastAsia="Calibri" w:hAnsi="Calibri"/>
          <w:sz w:val="18"/>
          <w:szCs w:val="18"/>
          <w:color w:val="auto"/>
        </w:rPr>
      </w:pPr>
      <w:r>
        <w:rPr>
          <w:rFonts w:ascii="Calibri" w:cs="Calibri" w:eastAsia="Calibri" w:hAnsi="Calibri"/>
          <w:sz w:val="18"/>
          <w:szCs w:val="18"/>
          <w:color w:val="auto"/>
        </w:rPr>
        <w:t>In consideraton of the benefts provided to me under the Memorandum and this Release, I agree to waive, and will not assert any of the claims or causes of acton I have waived in this Release, before any federal or state court, any federal or state agency, or in any public or private arbitraton. This prohibiton does not apply if it would be a violaton of applicable law or regulaton. If this prohibiton does not apply, however, and a charge or lawsuit is fled by or on behalf of me, I agree not to seek or accept any personal relief, award, monetary damages or other benefts in connecton with or based on such charge or lawsuit. This paragraph is not intended to limit my right to commence and maintain legal acton for the sole purpose of enforcing the Memorandum, this Release or the Reserved Rights.</w:t>
      </w:r>
    </w:p>
    <w:p>
      <w:pPr>
        <w:spacing w:after="0" w:line="16" w:lineRule="exact"/>
        <w:rPr>
          <w:rFonts w:ascii="Calibri" w:cs="Calibri" w:eastAsia="Calibri" w:hAnsi="Calibri"/>
          <w:sz w:val="18"/>
          <w:szCs w:val="18"/>
          <w:color w:val="auto"/>
        </w:rPr>
      </w:pPr>
    </w:p>
    <w:p>
      <w:pPr>
        <w:ind w:left="740" w:hanging="322"/>
        <w:spacing w:after="0" w:line="220" w:lineRule="auto"/>
        <w:tabs>
          <w:tab w:leader="none" w:pos="732" w:val="left"/>
        </w:tabs>
        <w:numPr>
          <w:ilvl w:val="1"/>
          <w:numId w:val="41"/>
        </w:numPr>
        <w:rPr>
          <w:rFonts w:ascii="Calibri" w:cs="Calibri" w:eastAsia="Calibri" w:hAnsi="Calibri"/>
          <w:sz w:val="18"/>
          <w:szCs w:val="18"/>
          <w:color w:val="auto"/>
        </w:rPr>
      </w:pPr>
      <w:r>
        <w:rPr>
          <w:rFonts w:ascii="Calibri" w:cs="Calibri" w:eastAsia="Calibri" w:hAnsi="Calibri"/>
          <w:sz w:val="18"/>
          <w:szCs w:val="18"/>
          <w:color w:val="auto"/>
        </w:rPr>
        <w:t>I also agree to waive, release and forever discharge the Releasees from any and all claims, causes of acton and/or lawsuits that may arise from any incident, event, act or omission occurring prior to my Terminaton</w:t>
      </w:r>
    </w:p>
    <w:p>
      <w:pPr>
        <w:sectPr>
          <w:pgSz w:w="11900" w:h="16838" w:orient="portrait"/>
          <w:cols w:equalWidth="0" w:num="1">
            <w:col w:w="11100"/>
          </w:cols>
          <w:pgMar w:left="360" w:top="153" w:right="439" w:bottom="1440" w:gutter="0" w:footer="0" w:header="0"/>
        </w:sectPr>
      </w:pPr>
    </w:p>
    <w:bookmarkStart w:id="73" w:name="page74"/>
    <w:bookmarkEnd w:id="73"/>
    <w:p>
      <w:pPr>
        <w:spacing w:after="0"/>
        <w:rPr>
          <w:sz w:val="20"/>
          <w:szCs w:val="20"/>
          <w:color w:val="auto"/>
        </w:rPr>
      </w:pPr>
      <w:r>
        <w:rPr>
          <w:rFonts w:ascii="Calibri" w:cs="Calibri" w:eastAsia="Calibri" w:hAnsi="Calibri"/>
          <w:sz w:val="18"/>
          <w:szCs w:val="18"/>
          <w:b w:val="1"/>
          <w:bCs w:val="1"/>
          <w:u w:val="single" w:color="auto"/>
          <w:color w:val="auto"/>
        </w:rPr>
        <w:t>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40"/>
        <w:spacing w:after="0" w:line="213" w:lineRule="auto"/>
        <w:rPr>
          <w:sz w:val="20"/>
          <w:szCs w:val="20"/>
          <w:color w:val="auto"/>
        </w:rPr>
      </w:pPr>
      <w:r>
        <w:rPr>
          <w:rFonts w:ascii="Calibri" w:cs="Calibri" w:eastAsia="Calibri" w:hAnsi="Calibri"/>
          <w:sz w:val="18"/>
          <w:szCs w:val="18"/>
          <w:color w:val="auto"/>
        </w:rPr>
        <w:t>Date or during my Severance Period, as those terms are defned in the Memorandum, except for the purpose of enforcing the Memorandum, this Release or the Reserved Rights.</w:t>
      </w:r>
    </w:p>
    <w:p>
      <w:pPr>
        <w:spacing w:after="0" w:line="15" w:lineRule="exact"/>
        <w:rPr>
          <w:sz w:val="20"/>
          <w:szCs w:val="20"/>
          <w:color w:val="auto"/>
        </w:rPr>
      </w:pPr>
    </w:p>
    <w:p>
      <w:pPr>
        <w:jc w:val="both"/>
        <w:ind w:left="420" w:right="20" w:hanging="327"/>
        <w:spacing w:after="0" w:line="210" w:lineRule="auto"/>
        <w:tabs>
          <w:tab w:leader="none" w:pos="405"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Long-Term Incentves: Outstanding long-term incentve equity-based awards from the Company are set forth in Exhibit A atached hereto. Upon and following the Terminaton Date, each such award will be treated in accordance with the terms of applicable grant agreements (including, without limitaton, any such applicable terms requiring executon of this Release) with respect to terminaton of my employment.</w:t>
      </w:r>
    </w:p>
    <w:p>
      <w:pPr>
        <w:spacing w:after="0" w:line="17" w:lineRule="exact"/>
        <w:rPr>
          <w:rFonts w:ascii="Calibri" w:cs="Calibri" w:eastAsia="Calibri" w:hAnsi="Calibri"/>
          <w:sz w:val="18"/>
          <w:szCs w:val="18"/>
          <w:color w:val="auto"/>
        </w:rPr>
      </w:pPr>
    </w:p>
    <w:p>
      <w:pPr>
        <w:jc w:val="both"/>
        <w:ind w:left="420" w:hanging="326"/>
        <w:spacing w:after="0" w:line="206" w:lineRule="auto"/>
        <w:tabs>
          <w:tab w:leader="none" w:pos="405"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Except as may be required under applicable law or the rules of a stock exchange or natonal securites quotaton system, I agree to keep the Memorandum and this Release confdental and not disclose their contents to anyone except my immediate family, my fnancial or legal consultants, and appropriate governmental agencies that may subpoena this informaton. If I receive a subpoena that calls for the producton of this Release, the Memorandum or related documents, I will advise Xylem in writng before I respond to any subpoena, and give Xylem an opportunity to move to quash any such subpoena.</w:t>
      </w:r>
    </w:p>
    <w:p>
      <w:pPr>
        <w:spacing w:after="0" w:line="15" w:lineRule="exact"/>
        <w:rPr>
          <w:rFonts w:ascii="Calibri" w:cs="Calibri" w:eastAsia="Calibri" w:hAnsi="Calibri"/>
          <w:sz w:val="18"/>
          <w:szCs w:val="18"/>
          <w:color w:val="auto"/>
        </w:rPr>
      </w:pPr>
    </w:p>
    <w:p>
      <w:pPr>
        <w:jc w:val="both"/>
        <w:ind w:left="500" w:hanging="415"/>
        <w:spacing w:after="0" w:line="199" w:lineRule="auto"/>
        <w:tabs>
          <w:tab w:leader="none" w:pos="491"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I agree not to disparage, slander, defame or otherwise intentonally injure the reputaton of Xylem or its Subsidiaries (as defned in 6 b) below) (collectvely, the “Xylem Enttes”), their ofcers, directors, employees, agents, representatves, products or services. I agree that any restricted covenants that I agreed to with respect to my employment with Xylem Enttes, including but not limited to obligatons with respect to confdentality, will remain in efect following my Terminaton Date. I agree to keep confdental and not disclose, without Xylem’s prior writen consent, any proprietary informaton concerning maters relatng to the business or strategy of the Xylem Enttes, including trade secrets and other intellectual property, products, services, methods of manufacture, pricing or business models. I agree that for 24 months following my Terminaton Date, I will not, directly or indirectly, or by acton in concert with others: (i) solicit or induce or atempt to solicit or induce, any person who is employed as an employee by Xylem Enttes, to leave his or her employment with Xylem Enttes and/or to perform services of any kind for any other person, frm or corporaton, (ii) divert or take away, or call-on, solicit or atempt to call-on or solicit, any of the Xylem Enttes’ current customers or clients, including those whom I called or who I solicited, or with whom I became acquainted while engaged as an employee of the Xylem Enttes, and (iii) engage in, become afliated with, or become employed by any business compettve with Xylem Enttes. I agree that Xylem shall be enttled to enforce these covenants through an injuncton or otherwise through specifc performance (in additon to any other remedies) as money damages will not be sufcient.</w:t>
      </w:r>
    </w:p>
    <w:p>
      <w:pPr>
        <w:spacing w:after="0" w:line="218" w:lineRule="exact"/>
        <w:rPr>
          <w:rFonts w:ascii="Calibri" w:cs="Calibri" w:eastAsia="Calibri" w:hAnsi="Calibri"/>
          <w:sz w:val="18"/>
          <w:szCs w:val="18"/>
          <w:color w:val="auto"/>
        </w:rPr>
      </w:pPr>
    </w:p>
    <w:p>
      <w:pPr>
        <w:ind w:left="400" w:hanging="306"/>
        <w:spacing w:after="0"/>
        <w:tabs>
          <w:tab w:leader="none" w:pos="400"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Xylem agrees to the following:</w:t>
      </w:r>
    </w:p>
    <w:p>
      <w:pPr>
        <w:spacing w:after="0" w:line="14" w:lineRule="exact"/>
        <w:rPr>
          <w:rFonts w:ascii="Calibri" w:cs="Calibri" w:eastAsia="Calibri" w:hAnsi="Calibri"/>
          <w:sz w:val="18"/>
          <w:szCs w:val="18"/>
          <w:color w:val="auto"/>
        </w:rPr>
      </w:pPr>
    </w:p>
    <w:p>
      <w:pPr>
        <w:jc w:val="both"/>
        <w:ind w:left="740" w:hanging="323"/>
        <w:spacing w:after="0" w:line="199" w:lineRule="auto"/>
        <w:tabs>
          <w:tab w:leader="none" w:pos="728" w:val="left"/>
        </w:tabs>
        <w:numPr>
          <w:ilvl w:val="1"/>
          <w:numId w:val="42"/>
        </w:numPr>
        <w:rPr>
          <w:rFonts w:ascii="Calibri" w:cs="Calibri" w:eastAsia="Calibri" w:hAnsi="Calibri"/>
          <w:sz w:val="18"/>
          <w:szCs w:val="18"/>
          <w:color w:val="auto"/>
        </w:rPr>
      </w:pPr>
      <w:r>
        <w:rPr>
          <w:rFonts w:ascii="Calibri" w:cs="Calibri" w:eastAsia="Calibri" w:hAnsi="Calibri"/>
          <w:sz w:val="18"/>
          <w:szCs w:val="18"/>
          <w:color w:val="auto"/>
        </w:rPr>
        <w:t>Xylem waives, releases and forever discharges me and my heirs (collectvely "Sabol Releasees") from any and all claims, demands, debts, liabilites, obligatons, expenses (including atorney's fees and costs), promises, covenants, controversies, grievances, claims, suits, actons or causes of acton, in law or in equity, known or unknown, foreseen or unforeseen, contngent or not contngent, liquidated or not liquidated, which they or any of them may have had in the past, may have now, or may in the future claim to have against any Sabol Releasees arising out of, in relaton to or with respect to any incident, event, act or omission occurring at any tme prior to the signing of this Release. The release in this paragraph 6(a) shall not operate as a release or waiver of claims or rights that may arise afer the date of the executon of this Release or any rights under the agreements and plans described in paragraph 5 (collectvely, the "Xylem Reserved Rights") and the release in this paragraph 6(a) shall not afect Xylem’s right to seek enforcement of the terms and conditons of the Memorandum, this Release and/or the Xylem Reserved Rights.</w:t>
      </w:r>
    </w:p>
    <w:p>
      <w:pPr>
        <w:spacing w:after="0" w:line="34" w:lineRule="exact"/>
        <w:rPr>
          <w:rFonts w:ascii="Calibri" w:cs="Calibri" w:eastAsia="Calibri" w:hAnsi="Calibri"/>
          <w:sz w:val="18"/>
          <w:szCs w:val="18"/>
          <w:color w:val="auto"/>
        </w:rPr>
      </w:pPr>
    </w:p>
    <w:p>
      <w:pPr>
        <w:jc w:val="both"/>
        <w:ind w:left="740" w:hanging="323"/>
        <w:spacing w:after="0" w:line="203" w:lineRule="auto"/>
        <w:tabs>
          <w:tab w:leader="none" w:pos="727" w:val="left"/>
        </w:tabs>
        <w:numPr>
          <w:ilvl w:val="1"/>
          <w:numId w:val="42"/>
        </w:numPr>
        <w:rPr>
          <w:rFonts w:ascii="Calibri" w:cs="Calibri" w:eastAsia="Calibri" w:hAnsi="Calibri"/>
          <w:sz w:val="18"/>
          <w:szCs w:val="18"/>
          <w:color w:val="auto"/>
        </w:rPr>
      </w:pPr>
      <w:r>
        <w:rPr>
          <w:rFonts w:ascii="Calibri" w:cs="Calibri" w:eastAsia="Calibri" w:hAnsi="Calibri"/>
          <w:sz w:val="18"/>
          <w:szCs w:val="18"/>
          <w:color w:val="auto"/>
        </w:rPr>
        <w:t>From and afer the date of this Release, Xylem Inc. agrees, and agrees to cause each of its direct and indirect wholly or partally owned subsidiaries and other afliates worldwide (collectvely, “Subsidiaries”), to jointly and severally indemnify and hold harmless Employee in respect of his service as an ofcer and/or director of Xylem Inc. and any of its Subsidiaries to the same extent Employee is indemnifed by Xylem Inc. or its Subsidiaries as of the date hereof pursuant to the governing documents of Xylem Inc. or its Subsidiaries or any agreement between Xylem Inc. or its Subsidiaries and Employee, for acts or omissions occurring at or prior to the date of this Release.</w:t>
      </w:r>
    </w:p>
    <w:p>
      <w:pPr>
        <w:spacing w:after="0" w:line="10" w:lineRule="exact"/>
        <w:rPr>
          <w:rFonts w:ascii="Calibri" w:cs="Calibri" w:eastAsia="Calibri" w:hAnsi="Calibri"/>
          <w:sz w:val="18"/>
          <w:szCs w:val="18"/>
          <w:color w:val="auto"/>
        </w:rPr>
      </w:pPr>
    </w:p>
    <w:p>
      <w:pPr>
        <w:ind w:left="720" w:hanging="302"/>
        <w:spacing w:after="0"/>
        <w:tabs>
          <w:tab w:leader="none" w:pos="720" w:val="left"/>
        </w:tabs>
        <w:numPr>
          <w:ilvl w:val="1"/>
          <w:numId w:val="42"/>
        </w:numPr>
        <w:rPr>
          <w:rFonts w:ascii="Calibri" w:cs="Calibri" w:eastAsia="Calibri" w:hAnsi="Calibri"/>
          <w:sz w:val="18"/>
          <w:szCs w:val="18"/>
          <w:color w:val="auto"/>
        </w:rPr>
      </w:pPr>
      <w:r>
        <w:rPr>
          <w:rFonts w:ascii="Calibri" w:cs="Calibri" w:eastAsia="Calibri" w:hAnsi="Calibri"/>
          <w:sz w:val="18"/>
          <w:szCs w:val="18"/>
          <w:color w:val="auto"/>
        </w:rPr>
        <w:t>Xylem, including on behalf of its Subsidiaries, agrees not to slander, defame or otherwise intentonally injure my reputaton.</w:t>
      </w:r>
    </w:p>
    <w:p>
      <w:pPr>
        <w:sectPr>
          <w:pgSz w:w="11900" w:h="16838" w:orient="portrait"/>
          <w:cols w:equalWidth="0" w:num="1">
            <w:col w:w="11100"/>
          </w:cols>
          <w:pgMar w:left="360" w:top="153" w:right="439" w:bottom="1440" w:gutter="0" w:footer="0" w:header="0"/>
        </w:sectPr>
      </w:pPr>
    </w:p>
    <w:bookmarkStart w:id="74" w:name="page75"/>
    <w:bookmarkEnd w:id="74"/>
    <w:p>
      <w:pPr>
        <w:ind w:left="40"/>
        <w:spacing w:after="0"/>
        <w:rPr>
          <w:sz w:val="20"/>
          <w:szCs w:val="20"/>
          <w:color w:val="auto"/>
        </w:rPr>
      </w:pPr>
      <w:r>
        <w:rPr>
          <w:rFonts w:ascii="Calibri" w:cs="Calibri" w:eastAsia="Calibri" w:hAnsi="Calibri"/>
          <w:sz w:val="18"/>
          <w:szCs w:val="18"/>
          <w:b w:val="1"/>
          <w:bCs w:val="1"/>
          <w:u w:val="single" w:color="auto"/>
          <w:color w:val="auto"/>
        </w:rPr>
        <w:t>PRIVILEGED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460" w:hanging="326"/>
        <w:spacing w:after="0" w:line="206" w:lineRule="auto"/>
        <w:tabs>
          <w:tab w:leader="none" w:pos="445"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I acknowledge: (i) I have been advised in writng to consult with an atorney of my own choice regarding this Release and the Memorandum and have had an opportunity to do so; (ii) I have been advised in writng I have at least 21 calendar days from my receipt of this Release and the Memorandum to review and consider them;</w:t>
      </w:r>
    </w:p>
    <w:p>
      <w:pPr>
        <w:jc w:val="both"/>
        <w:ind w:left="460" w:hanging="2"/>
        <w:spacing w:after="0" w:line="196" w:lineRule="auto"/>
        <w:tabs>
          <w:tab w:leader="none" w:pos="737" w:val="left"/>
        </w:tabs>
        <w:numPr>
          <w:ilvl w:val="1"/>
          <w:numId w:val="43"/>
        </w:numPr>
        <w:rPr>
          <w:rFonts w:ascii="Calibri" w:cs="Calibri" w:eastAsia="Calibri" w:hAnsi="Calibri"/>
          <w:sz w:val="18"/>
          <w:szCs w:val="18"/>
          <w:color w:val="auto"/>
        </w:rPr>
      </w:pPr>
      <w:r>
        <w:rPr>
          <w:rFonts w:ascii="Calibri" w:cs="Calibri" w:eastAsia="Calibri" w:hAnsi="Calibri"/>
          <w:sz w:val="18"/>
          <w:szCs w:val="18"/>
          <w:color w:val="auto"/>
        </w:rPr>
        <w:t xml:space="preserve">I fully understand those terms and conditons; (iv) I am voluntarily and of my own free will executng this Release and the Memorandum on the date refected below and I was not subjected to any duress or undue infuence in connecton with my decision to execute them; and (v) during a period of 7 calendar days following my executon of this Release and the Memorandum, I may revoke such executons and this Release and the Memorandum shall not be efectve or enforceable untl such 7 calendar-day period has expired. Should I desire to revoke this Release and the Memorandum, my revocaton must be made in writng and sent to the atenton of Shan Jarvis, Vice President, Global Compensaton &amp; Benefts, via email to </w:t>
      </w:r>
      <w:r>
        <w:rPr>
          <w:rFonts w:ascii="Calibri" w:cs="Calibri" w:eastAsia="Calibri" w:hAnsi="Calibri"/>
          <w:sz w:val="18"/>
          <w:szCs w:val="18"/>
          <w:u w:val="single" w:color="auto"/>
          <w:color w:val="auto"/>
        </w:rPr>
        <w:t>shan.jarvis@xylem.com</w:t>
      </w:r>
      <w:r>
        <w:rPr>
          <w:rFonts w:ascii="Calibri" w:cs="Calibri" w:eastAsia="Calibri" w:hAnsi="Calibri"/>
          <w:sz w:val="18"/>
          <w:szCs w:val="18"/>
          <w:color w:val="auto"/>
        </w:rPr>
        <w:t xml:space="preserve"> within the 7 calendar-day revocaton period.</w:t>
      </w:r>
    </w:p>
    <w:p>
      <w:pPr>
        <w:spacing w:after="0" w:line="31" w:lineRule="exact"/>
        <w:rPr>
          <w:rFonts w:ascii="Calibri" w:cs="Calibri" w:eastAsia="Calibri" w:hAnsi="Calibri"/>
          <w:sz w:val="18"/>
          <w:szCs w:val="18"/>
          <w:color w:val="auto"/>
        </w:rPr>
      </w:pPr>
    </w:p>
    <w:p>
      <w:pPr>
        <w:jc w:val="both"/>
        <w:ind w:left="460" w:hanging="327"/>
        <w:spacing w:after="0" w:line="206" w:lineRule="auto"/>
        <w:tabs>
          <w:tab w:leader="none" w:pos="445"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This Release and the Memorandum, which is incorporated herein, contain the entre agreement between me, Xylem, and all Releasees relatng to the subject mater thereof. I represent and acknowledge in signing this Release and the Memorandum, I have not relied upon any representaton or statement, oral or writen, not otherwise set forth herein. No amendment to this Release or the Memorandum shall be binding unless it is in writng, expressly designated as an amendment, dated, and signed by the partes.</w:t>
      </w:r>
    </w:p>
    <w:p>
      <w:pPr>
        <w:spacing w:after="0" w:line="15" w:lineRule="exact"/>
        <w:rPr>
          <w:rFonts w:ascii="Calibri" w:cs="Calibri" w:eastAsia="Calibri" w:hAnsi="Calibri"/>
          <w:sz w:val="18"/>
          <w:szCs w:val="18"/>
          <w:color w:val="auto"/>
        </w:rPr>
      </w:pPr>
    </w:p>
    <w:p>
      <w:pPr>
        <w:jc w:val="both"/>
        <w:ind w:left="460" w:right="20" w:hanging="326"/>
        <w:spacing w:after="0" w:line="206" w:lineRule="auto"/>
        <w:tabs>
          <w:tab w:leader="none" w:pos="445"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Nothing in this Release or the Memorandum consttutes an admission of liability by Xylem or any Releasees or me, and this Release and/or the Memorandum will not be used by me, Xylem or any other entty or person as evidence in any administratve or legal proceeding or trial, except to enforce the terms of this Release, Memorandum and/or the Reserved Rights.</w:t>
      </w:r>
    </w:p>
    <w:p>
      <w:pPr>
        <w:spacing w:after="0" w:line="28" w:lineRule="exact"/>
        <w:rPr>
          <w:rFonts w:ascii="Calibri" w:cs="Calibri" w:eastAsia="Calibri" w:hAnsi="Calibri"/>
          <w:sz w:val="18"/>
          <w:szCs w:val="18"/>
          <w:color w:val="auto"/>
        </w:rPr>
      </w:pPr>
    </w:p>
    <w:p>
      <w:pPr>
        <w:jc w:val="both"/>
        <w:ind w:left="460" w:hanging="327"/>
        <w:spacing w:after="0" w:line="218" w:lineRule="auto"/>
        <w:tabs>
          <w:tab w:leader="none" w:pos="453" w:val="left"/>
        </w:tabs>
        <w:numPr>
          <w:ilvl w:val="0"/>
          <w:numId w:val="43"/>
        </w:numPr>
        <w:rPr>
          <w:rFonts w:ascii="Calibri" w:cs="Calibri" w:eastAsia="Calibri" w:hAnsi="Calibri"/>
          <w:sz w:val="17"/>
          <w:szCs w:val="17"/>
          <w:color w:val="auto"/>
        </w:rPr>
      </w:pPr>
      <w:r>
        <w:rPr>
          <w:rFonts w:ascii="Calibri" w:cs="Calibri" w:eastAsia="Calibri" w:hAnsi="Calibri"/>
          <w:sz w:val="17"/>
          <w:szCs w:val="17"/>
          <w:color w:val="auto"/>
        </w:rPr>
        <w:t>This Release and the Memorandum shall be construed in accordance with the laws of the State of Indiana. Should any provision of this Release or the Memorandum be determined invalid or unenforceable, the validity of the remaining provisions shall not be afected and shall remain in full force and efect to the maximum extent permited by law. Any claim or dispute involving the Memorandum and/or Release shall be resolved in Indiana state courts or federal courts, both located in Marion County, Indiana. The partes mutually agree to waive a jury trial in any such proceeding.</w:t>
      </w:r>
    </w:p>
    <w:p>
      <w:pPr>
        <w:spacing w:after="0" w:line="10" w:lineRule="exact"/>
        <w:rPr>
          <w:rFonts w:ascii="Calibri" w:cs="Calibri" w:eastAsia="Calibri" w:hAnsi="Calibri"/>
          <w:sz w:val="17"/>
          <w:szCs w:val="17"/>
          <w:color w:val="auto"/>
        </w:rPr>
      </w:pPr>
    </w:p>
    <w:p>
      <w:pPr>
        <w:ind w:left="460" w:hanging="326"/>
        <w:spacing w:after="0"/>
        <w:tabs>
          <w:tab w:leader="none" w:pos="46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The Memorandum and Release may be assigned to the successors and assigns of Xylem Inc.</w:t>
      </w:r>
    </w:p>
    <w:p>
      <w:pPr>
        <w:spacing w:after="0" w:line="14" w:lineRule="exact"/>
        <w:rPr>
          <w:rFonts w:ascii="Calibri" w:cs="Calibri" w:eastAsia="Calibri" w:hAnsi="Calibri"/>
          <w:sz w:val="18"/>
          <w:szCs w:val="18"/>
          <w:color w:val="auto"/>
        </w:rPr>
      </w:pPr>
    </w:p>
    <w:p>
      <w:pPr>
        <w:ind w:left="460" w:hanging="326"/>
        <w:spacing w:after="0" w:line="213" w:lineRule="auto"/>
        <w:tabs>
          <w:tab w:leader="none" w:pos="453"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In the event of my death during the Severance Period, the unpaid amount of Severance Pay remaining shall be paid in a discounted lump sum to such benefciary or benefciaries designated by me in writng, or if such designaton has not been made, to my estate.</w:t>
      </w:r>
    </w:p>
    <w:p>
      <w:pPr>
        <w:spacing w:after="0" w:line="14" w:lineRule="exact"/>
        <w:rPr>
          <w:rFonts w:ascii="Calibri" w:cs="Calibri" w:eastAsia="Calibri" w:hAnsi="Calibri"/>
          <w:sz w:val="18"/>
          <w:szCs w:val="18"/>
          <w:color w:val="auto"/>
        </w:rPr>
      </w:pPr>
    </w:p>
    <w:p>
      <w:pPr>
        <w:ind w:left="460" w:hanging="326"/>
        <w:spacing w:after="0" w:line="220" w:lineRule="auto"/>
        <w:tabs>
          <w:tab w:leader="none" w:pos="453"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 xml:space="preserve">I have carefully read this Release and the Memorandum, fully understand their provisions, and my signature below indicates my understanding and agreement with their terms and </w:t>
      </w:r>
      <w:r>
        <w:rPr>
          <w:rFonts w:ascii="Calibri" w:cs="Calibri" w:eastAsia="Calibri" w:hAnsi="Calibri"/>
          <w:sz w:val="18"/>
          <w:szCs w:val="18"/>
          <w:color w:val="111111"/>
        </w:rPr>
        <w:t>conditons.</w:t>
      </w:r>
    </w:p>
    <w:p>
      <w:pPr>
        <w:spacing w:after="0" w:line="16" w:lineRule="exact"/>
        <w:rPr>
          <w:sz w:val="20"/>
          <w:szCs w:val="20"/>
          <w:color w:val="auto"/>
        </w:rPr>
      </w:pPr>
    </w:p>
    <w:p>
      <w:pPr>
        <w:ind w:left="140" w:right="20"/>
        <w:spacing w:after="0" w:line="213" w:lineRule="auto"/>
        <w:rPr>
          <w:sz w:val="20"/>
          <w:szCs w:val="20"/>
          <w:color w:val="auto"/>
        </w:rPr>
      </w:pPr>
      <w:r>
        <w:rPr>
          <w:rFonts w:ascii="Calibri" w:cs="Calibri" w:eastAsia="Calibri" w:hAnsi="Calibri"/>
          <w:sz w:val="18"/>
          <w:szCs w:val="18"/>
          <w:color w:val="111111"/>
        </w:rPr>
        <w:t>A scanned copy of the signed Release and Memorandum must be emailed to Shan Jarvis, Vice President, Global Compensaton &amp; Benefts a</w:t>
      </w:r>
      <w:r>
        <w:rPr>
          <w:rFonts w:ascii="Calibri" w:cs="Calibri" w:eastAsia="Calibri" w:hAnsi="Calibri"/>
          <w:sz w:val="18"/>
          <w:szCs w:val="18"/>
          <w:color w:val="000000"/>
        </w:rPr>
        <w:t>t</w:t>
      </w:r>
      <w:r>
        <w:rPr>
          <w:rFonts w:ascii="Calibri" w:cs="Calibri" w:eastAsia="Calibri" w:hAnsi="Calibri"/>
          <w:sz w:val="18"/>
          <w:szCs w:val="18"/>
          <w:color w:val="111111"/>
        </w:rPr>
        <w:t xml:space="preserve"> </w:t>
      </w:r>
      <w:r>
        <w:rPr>
          <w:rFonts w:ascii="Calibri" w:cs="Calibri" w:eastAsia="Calibri" w:hAnsi="Calibri"/>
          <w:sz w:val="18"/>
          <w:szCs w:val="18"/>
          <w:u w:val="single" w:color="auto"/>
          <w:color w:val="000000"/>
        </w:rPr>
        <w:t>Shan.Jarvis@xylem.com.</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740" w:type="dxa"/>
            <w:vAlign w:val="bottom"/>
            <w:gridSpan w:val="3"/>
          </w:tcPr>
          <w:p>
            <w:pPr>
              <w:spacing w:after="0"/>
              <w:rPr>
                <w:sz w:val="20"/>
                <w:szCs w:val="20"/>
                <w:color w:val="auto"/>
              </w:rPr>
            </w:pPr>
            <w:r>
              <w:rPr>
                <w:rFonts w:ascii="Calibri" w:cs="Calibri" w:eastAsia="Calibri" w:hAnsi="Calibri"/>
                <w:sz w:val="20"/>
                <w:szCs w:val="20"/>
                <w:color w:val="181618"/>
              </w:rPr>
              <w:t>EMPLOYEE: Colin Sabol</w:t>
            </w:r>
          </w:p>
        </w:tc>
        <w:tc>
          <w:tcPr>
            <w:tcW w:w="1180" w:type="dxa"/>
            <w:vAlign w:val="bottom"/>
          </w:tcPr>
          <w:p>
            <w:pPr>
              <w:spacing w:after="0"/>
              <w:rPr>
                <w:sz w:val="21"/>
                <w:szCs w:val="21"/>
                <w:color w:val="auto"/>
              </w:rPr>
            </w:pPr>
          </w:p>
        </w:tc>
      </w:tr>
      <w:tr>
        <w:trPr>
          <w:trHeight w:val="465"/>
        </w:trPr>
        <w:tc>
          <w:tcPr>
            <w:tcW w:w="1440" w:type="dxa"/>
            <w:vAlign w:val="bottom"/>
            <w:tcBorders>
              <w:bottom w:val="single" w:sz="8" w:color="auto"/>
            </w:tcBorders>
            <w:gridSpan w:val="2"/>
          </w:tcPr>
          <w:p>
            <w:pPr>
              <w:spacing w:after="0"/>
              <w:rPr>
                <w:sz w:val="20"/>
                <w:szCs w:val="20"/>
                <w:color w:val="auto"/>
              </w:rPr>
            </w:pPr>
            <w:r>
              <w:rPr>
                <w:rFonts w:ascii="Calibri" w:cs="Calibri" w:eastAsia="Calibri" w:hAnsi="Calibri"/>
                <w:sz w:val="20"/>
                <w:szCs w:val="20"/>
                <w:color w:val="auto"/>
              </w:rPr>
              <w:t>/s/ Colin R. Sabol</w:t>
            </w:r>
          </w:p>
        </w:tc>
        <w:tc>
          <w:tcPr>
            <w:tcW w:w="1300" w:type="dxa"/>
            <w:vAlign w:val="bottom"/>
          </w:tcPr>
          <w:p>
            <w:pPr>
              <w:spacing w:after="0"/>
              <w:rPr>
                <w:sz w:val="24"/>
                <w:szCs w:val="24"/>
                <w:color w:val="auto"/>
              </w:rPr>
            </w:pPr>
          </w:p>
        </w:tc>
        <w:tc>
          <w:tcPr>
            <w:tcW w:w="1180" w:type="dxa"/>
            <w:vAlign w:val="bottom"/>
            <w:tcBorders>
              <w:bottom w:val="single" w:sz="8" w:color="auto"/>
            </w:tcBorders>
          </w:tcPr>
          <w:p>
            <w:pPr>
              <w:ind w:left="180"/>
              <w:spacing w:after="0"/>
              <w:rPr>
                <w:sz w:val="20"/>
                <w:szCs w:val="20"/>
                <w:color w:val="auto"/>
              </w:rPr>
            </w:pPr>
            <w:r>
              <w:rPr>
                <w:rFonts w:ascii="Calibri" w:cs="Calibri" w:eastAsia="Calibri" w:hAnsi="Calibri"/>
                <w:sz w:val="20"/>
                <w:szCs w:val="20"/>
                <w:color w:val="auto"/>
                <w:w w:val="97"/>
              </w:rPr>
              <w:t>May 5, 2022</w:t>
            </w:r>
          </w:p>
        </w:tc>
      </w:tr>
      <w:tr>
        <w:trPr>
          <w:trHeight w:val="213"/>
        </w:trPr>
        <w:tc>
          <w:tcPr>
            <w:tcW w:w="2740" w:type="dxa"/>
            <w:vAlign w:val="bottom"/>
            <w:gridSpan w:val="3"/>
          </w:tcPr>
          <w:p>
            <w:pPr>
              <w:spacing w:after="0" w:line="213" w:lineRule="exact"/>
              <w:rPr>
                <w:sz w:val="20"/>
                <w:szCs w:val="20"/>
                <w:color w:val="auto"/>
              </w:rPr>
            </w:pPr>
            <w:r>
              <w:rPr>
                <w:rFonts w:ascii="Calibri" w:cs="Calibri" w:eastAsia="Calibri" w:hAnsi="Calibri"/>
                <w:sz w:val="18"/>
                <w:szCs w:val="18"/>
                <w:color w:val="181618"/>
              </w:rPr>
              <w:t>Employee Signature</w:t>
            </w:r>
          </w:p>
        </w:tc>
        <w:tc>
          <w:tcPr>
            <w:tcW w:w="1180" w:type="dxa"/>
            <w:vAlign w:val="bottom"/>
          </w:tcPr>
          <w:p>
            <w:pPr>
              <w:ind w:left="240"/>
              <w:spacing w:after="0" w:line="213" w:lineRule="exact"/>
              <w:rPr>
                <w:sz w:val="20"/>
                <w:szCs w:val="20"/>
                <w:color w:val="auto"/>
              </w:rPr>
            </w:pPr>
            <w:r>
              <w:rPr>
                <w:rFonts w:ascii="Calibri" w:cs="Calibri" w:eastAsia="Calibri" w:hAnsi="Calibri"/>
                <w:sz w:val="18"/>
                <w:szCs w:val="18"/>
                <w:color w:val="181618"/>
              </w:rPr>
              <w:t>Date</w:t>
            </w:r>
          </w:p>
        </w:tc>
      </w:tr>
      <w:tr>
        <w:trPr>
          <w:trHeight w:val="675"/>
        </w:trPr>
        <w:tc>
          <w:tcPr>
            <w:tcW w:w="2740" w:type="dxa"/>
            <w:vAlign w:val="bottom"/>
            <w:gridSpan w:val="3"/>
          </w:tcPr>
          <w:p>
            <w:pPr>
              <w:spacing w:after="0"/>
              <w:rPr>
                <w:sz w:val="20"/>
                <w:szCs w:val="20"/>
                <w:color w:val="auto"/>
              </w:rPr>
            </w:pPr>
            <w:r>
              <w:rPr>
                <w:rFonts w:ascii="Calibri" w:cs="Calibri" w:eastAsia="Calibri" w:hAnsi="Calibri"/>
                <w:sz w:val="18"/>
                <w:szCs w:val="18"/>
                <w:color w:val="181618"/>
              </w:rPr>
              <w:t>EMPLOYER: Xylem Inc.</w:t>
            </w:r>
          </w:p>
        </w:tc>
        <w:tc>
          <w:tcPr>
            <w:tcW w:w="1180" w:type="dxa"/>
            <w:vAlign w:val="bottom"/>
          </w:tcPr>
          <w:p>
            <w:pPr>
              <w:spacing w:after="0"/>
              <w:rPr>
                <w:sz w:val="24"/>
                <w:szCs w:val="24"/>
                <w:color w:val="auto"/>
              </w:rPr>
            </w:pPr>
          </w:p>
        </w:tc>
      </w:tr>
      <w:tr>
        <w:trPr>
          <w:trHeight w:val="388"/>
        </w:trPr>
        <w:tc>
          <w:tcPr>
            <w:tcW w:w="1360" w:type="dxa"/>
            <w:vAlign w:val="bottom"/>
            <w:tcBorders>
              <w:bottom w:val="single" w:sz="8" w:color="auto"/>
            </w:tcBorders>
          </w:tcPr>
          <w:p>
            <w:pPr>
              <w:spacing w:after="0"/>
              <w:rPr>
                <w:sz w:val="20"/>
                <w:szCs w:val="20"/>
                <w:color w:val="auto"/>
              </w:rPr>
            </w:pPr>
            <w:r>
              <w:rPr>
                <w:rFonts w:ascii="Calibri" w:cs="Calibri" w:eastAsia="Calibri" w:hAnsi="Calibri"/>
                <w:sz w:val="20"/>
                <w:szCs w:val="20"/>
                <w:color w:val="auto"/>
              </w:rPr>
              <w:t>/s/ Shan Jarvis</w:t>
            </w:r>
          </w:p>
        </w:tc>
        <w:tc>
          <w:tcPr>
            <w:tcW w:w="138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color w:val="181618"/>
        </w:rPr>
        <w:t xml:space="preserve">Shan Jarvis, Vice President, Global Compensaton &amp; Benefts Xylem Inc. </w:t>
      </w:r>
      <w:r>
        <w:rPr>
          <w:rFonts w:ascii="Calibri" w:cs="Calibri" w:eastAsia="Calibri" w:hAnsi="Calibri"/>
          <w:sz w:val="18"/>
          <w:szCs w:val="18"/>
          <w:color w:val="111111"/>
        </w:rPr>
        <w:t>1 Internatonal Drive, Rye</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111111"/>
        </w:rPr>
        <w:t>Brook, NY 10573</w:t>
      </w:r>
    </w:p>
    <w:p>
      <w:pPr>
        <w:sectPr>
          <w:pgSz w:w="11900" w:h="16838" w:orient="portrait"/>
          <w:cols w:equalWidth="0" w:num="1">
            <w:col w:w="11140"/>
          </w:cols>
          <w:pgMar w:left="320" w:top="153" w:right="439" w:bottom="1440" w:gutter="0" w:footer="0" w:header="0"/>
        </w:sectPr>
      </w:pPr>
    </w:p>
    <w:bookmarkStart w:id="75" w:name="page76"/>
    <w:bookmarkEnd w:id="75"/>
    <w:p>
      <w:pPr>
        <w:jc w:val="center"/>
        <w:ind w:right="20"/>
        <w:spacing w:after="0"/>
        <w:rPr>
          <w:sz w:val="20"/>
          <w:szCs w:val="20"/>
          <w:color w:val="auto"/>
        </w:rPr>
      </w:pPr>
      <w:r>
        <w:rPr>
          <w:rFonts w:ascii="Calibri" w:cs="Calibri" w:eastAsia="Calibri" w:hAnsi="Calibri"/>
          <w:sz w:val="18"/>
          <w:szCs w:val="18"/>
          <w:b w:val="1"/>
          <w:bCs w:val="1"/>
          <w:color w:val="111111"/>
        </w:rPr>
        <w:t>Exhibit A</w:t>
      </w:r>
    </w:p>
    <w:p>
      <w:pPr>
        <w:jc w:val="center"/>
        <w:ind w:right="20"/>
        <w:spacing w:after="0" w:line="235" w:lineRule="auto"/>
        <w:rPr>
          <w:sz w:val="20"/>
          <w:szCs w:val="20"/>
          <w:color w:val="auto"/>
        </w:rPr>
      </w:pPr>
      <w:r>
        <w:rPr>
          <w:rFonts w:ascii="Calibri" w:cs="Calibri" w:eastAsia="Calibri" w:hAnsi="Calibri"/>
          <w:sz w:val="18"/>
          <w:szCs w:val="18"/>
          <w:b w:val="1"/>
          <w:bCs w:val="1"/>
          <w:color w:val="111111"/>
        </w:rPr>
        <w:t>Long-Term Incentve Awards</w:t>
      </w:r>
    </w:p>
    <w:p>
      <w:pPr>
        <w:spacing w:after="0" w:line="119" w:lineRule="exact"/>
        <w:rPr>
          <w:sz w:val="20"/>
          <w:szCs w:val="20"/>
          <w:color w:val="auto"/>
        </w:rPr>
      </w:pPr>
    </w:p>
    <w:p>
      <w:pPr>
        <w:spacing w:after="0"/>
        <w:rPr>
          <w:sz w:val="20"/>
          <w:szCs w:val="20"/>
          <w:color w:val="auto"/>
        </w:rPr>
      </w:pPr>
      <w:r>
        <w:rPr>
          <w:rFonts w:ascii="Calibri" w:cs="Calibri" w:eastAsia="Calibri" w:hAnsi="Calibri"/>
          <w:sz w:val="18"/>
          <w:szCs w:val="18"/>
          <w:color w:val="auto"/>
        </w:rPr>
        <w:t>Terminaton Date: November 1, 2022 or earlier date as mutually agreed by you and the Company Age as of Terminaton: 55</w:t>
      </w:r>
    </w:p>
    <w:p>
      <w:pPr>
        <w:spacing w:after="0" w:line="23"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Years of Service as of Terminaton Date: 16 </w:t>
      </w:r>
      <w:r>
        <w:rPr>
          <w:rFonts w:ascii="Calibri" w:cs="Calibri" w:eastAsia="Calibri" w:hAnsi="Calibri"/>
          <w:sz w:val="18"/>
          <w:szCs w:val="18"/>
          <w:u w:val="single" w:color="auto"/>
          <w:color w:val="181618"/>
        </w:rPr>
        <w:t>Stock Optons</w:t>
      </w:r>
    </w:p>
    <w:p>
      <w:pPr>
        <w:spacing w:after="0" w:line="28" w:lineRule="exact"/>
        <w:rPr>
          <w:sz w:val="20"/>
          <w:szCs w:val="20"/>
          <w:color w:val="auto"/>
        </w:rPr>
      </w:pPr>
    </w:p>
    <w:p>
      <w:pPr>
        <w:spacing w:after="0"/>
        <w:rPr>
          <w:sz w:val="20"/>
          <w:szCs w:val="20"/>
          <w:color w:val="auto"/>
        </w:rPr>
      </w:pPr>
      <w:r>
        <w:rPr>
          <w:rFonts w:ascii="Calibri" w:cs="Calibri" w:eastAsia="Calibri" w:hAnsi="Calibri"/>
          <w:sz w:val="17"/>
          <w:szCs w:val="17"/>
          <w:color w:val="181618"/>
        </w:rPr>
        <w:t xml:space="preserve">Unvested stock optons are forfeited and cancelled upon terminaton on the Terminaton Date. Vested stock optons must be exercised by </w:t>
      </w:r>
      <w:r>
        <w:rPr>
          <w:rFonts w:ascii="Calibri" w:cs="Calibri" w:eastAsia="Calibri" w:hAnsi="Calibri"/>
          <w:sz w:val="17"/>
          <w:szCs w:val="17"/>
          <w:b w:val="1"/>
          <w:bCs w:val="1"/>
          <w:color w:val="00B050"/>
        </w:rPr>
        <w:t>3 years afer the</w:t>
      </w:r>
    </w:p>
    <w:p>
      <w:pPr>
        <w:spacing w:after="0" w:line="214" w:lineRule="auto"/>
        <w:rPr>
          <w:sz w:val="20"/>
          <w:szCs w:val="20"/>
          <w:color w:val="auto"/>
        </w:rPr>
      </w:pPr>
      <w:r>
        <w:rPr>
          <w:rFonts w:ascii="Calibri" w:cs="Calibri" w:eastAsia="Calibri" w:hAnsi="Calibri"/>
          <w:sz w:val="18"/>
          <w:szCs w:val="18"/>
          <w:b w:val="1"/>
          <w:bCs w:val="1"/>
          <w:color w:val="00B050"/>
        </w:rPr>
        <w:t>Terminaton Date</w:t>
      </w:r>
      <w:r>
        <w:rPr>
          <w:rFonts w:ascii="Calibri" w:cs="Calibri" w:eastAsia="Calibri" w:hAnsi="Calibri"/>
          <w:sz w:val="18"/>
          <w:szCs w:val="18"/>
          <w:color w:val="181618"/>
        </w:rPr>
        <w:t>.</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400" w:type="dxa"/>
            <w:vAlign w:val="bottom"/>
            <w:tcBorders>
              <w:top w:val="single" w:sz="8" w:color="auto"/>
              <w:left w:val="single" w:sz="8" w:color="auto"/>
              <w:right w:val="single" w:sz="8" w:color="auto"/>
            </w:tcBorders>
          </w:tcPr>
          <w:p>
            <w:pPr>
              <w:jc w:val="center"/>
              <w:ind w:right="210"/>
              <w:spacing w:after="0"/>
              <w:rPr>
                <w:sz w:val="20"/>
                <w:szCs w:val="20"/>
                <w:color w:val="auto"/>
              </w:rPr>
            </w:pPr>
            <w:r>
              <w:rPr>
                <w:rFonts w:ascii="Calibri" w:cs="Calibri" w:eastAsia="Calibri" w:hAnsi="Calibri"/>
                <w:sz w:val="18"/>
                <w:szCs w:val="18"/>
                <w:b w:val="1"/>
                <w:bCs w:val="1"/>
                <w:color w:val="auto"/>
                <w:w w:val="98"/>
              </w:rPr>
              <w:t>Grant</w:t>
            </w:r>
          </w:p>
        </w:tc>
        <w:tc>
          <w:tcPr>
            <w:tcW w:w="1060" w:type="dxa"/>
            <w:vAlign w:val="bottom"/>
            <w:tcBorders>
              <w:top w:val="single" w:sz="8" w:color="auto"/>
              <w:right w:val="single" w:sz="8" w:color="auto"/>
            </w:tcBorders>
          </w:tcPr>
          <w:p>
            <w:pPr>
              <w:jc w:val="center"/>
              <w:ind w:right="110"/>
              <w:spacing w:after="0"/>
              <w:rPr>
                <w:sz w:val="20"/>
                <w:szCs w:val="20"/>
                <w:color w:val="auto"/>
              </w:rPr>
            </w:pPr>
            <w:r>
              <w:rPr>
                <w:rFonts w:ascii="Calibri" w:cs="Calibri" w:eastAsia="Calibri" w:hAnsi="Calibri"/>
                <w:sz w:val="18"/>
                <w:szCs w:val="18"/>
                <w:b w:val="1"/>
                <w:bCs w:val="1"/>
                <w:color w:val="auto"/>
                <w:w w:val="98"/>
              </w:rPr>
              <w:t>Grant</w:t>
            </w:r>
          </w:p>
        </w:tc>
        <w:tc>
          <w:tcPr>
            <w:tcW w:w="960" w:type="dxa"/>
            <w:vAlign w:val="bottom"/>
            <w:tcBorders>
              <w:top w:val="single" w:sz="8" w:color="auto"/>
              <w:right w:val="single" w:sz="8" w:color="auto"/>
            </w:tcBorders>
          </w:tcPr>
          <w:p>
            <w:pPr>
              <w:jc w:val="center"/>
              <w:ind w:right="150"/>
              <w:spacing w:after="0"/>
              <w:rPr>
                <w:sz w:val="20"/>
                <w:szCs w:val="20"/>
                <w:color w:val="auto"/>
              </w:rPr>
            </w:pPr>
            <w:r>
              <w:rPr>
                <w:rFonts w:ascii="Calibri" w:cs="Calibri" w:eastAsia="Calibri" w:hAnsi="Calibri"/>
                <w:sz w:val="18"/>
                <w:szCs w:val="18"/>
                <w:b w:val="1"/>
                <w:bCs w:val="1"/>
                <w:color w:val="auto"/>
                <w:w w:val="96"/>
              </w:rPr>
              <w:t>Shares</w:t>
            </w:r>
          </w:p>
        </w:tc>
        <w:tc>
          <w:tcPr>
            <w:tcW w:w="1120" w:type="dxa"/>
            <w:vAlign w:val="bottom"/>
            <w:tcBorders>
              <w:top w:val="single" w:sz="8" w:color="auto"/>
              <w:right w:val="single" w:sz="8" w:color="auto"/>
            </w:tcBorders>
            <w:vMerge w:val="restart"/>
          </w:tcPr>
          <w:p>
            <w:pPr>
              <w:ind w:left="220"/>
              <w:spacing w:after="0"/>
              <w:rPr>
                <w:sz w:val="20"/>
                <w:szCs w:val="20"/>
                <w:color w:val="auto"/>
              </w:rPr>
            </w:pPr>
            <w:r>
              <w:rPr>
                <w:rFonts w:ascii="Calibri" w:cs="Calibri" w:eastAsia="Calibri" w:hAnsi="Calibri"/>
                <w:sz w:val="18"/>
                <w:szCs w:val="18"/>
                <w:b w:val="1"/>
                <w:bCs w:val="1"/>
                <w:color w:val="auto"/>
              </w:rPr>
              <w:t>Exercised</w:t>
            </w:r>
          </w:p>
        </w:tc>
        <w:tc>
          <w:tcPr>
            <w:tcW w:w="14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b w:val="1"/>
                <w:bCs w:val="1"/>
                <w:color w:val="00B050"/>
                <w:w w:val="96"/>
              </w:rPr>
              <w:t>Available for</w:t>
            </w:r>
          </w:p>
        </w:tc>
        <w:tc>
          <w:tcPr>
            <w:tcW w:w="11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b w:val="1"/>
                <w:bCs w:val="1"/>
                <w:color w:val="FF0000"/>
                <w:w w:val="96"/>
              </w:rPr>
              <w:t>Cancelled</w:t>
            </w:r>
          </w:p>
        </w:tc>
        <w:tc>
          <w:tcPr>
            <w:tcW w:w="0" w:type="dxa"/>
            <w:vAlign w:val="bottom"/>
          </w:tcPr>
          <w:p>
            <w:pPr>
              <w:spacing w:after="0"/>
              <w:rPr>
                <w:sz w:val="1"/>
                <w:szCs w:val="1"/>
                <w:color w:val="auto"/>
              </w:rPr>
            </w:pPr>
          </w:p>
        </w:tc>
      </w:tr>
      <w:tr>
        <w:trPr>
          <w:trHeight w:val="113"/>
        </w:trPr>
        <w:tc>
          <w:tcPr>
            <w:tcW w:w="1400" w:type="dxa"/>
            <w:vAlign w:val="bottom"/>
            <w:tcBorders>
              <w:left w:val="single" w:sz="8" w:color="auto"/>
              <w:right w:val="single" w:sz="8" w:color="auto"/>
            </w:tcBorders>
            <w:vMerge w:val="restart"/>
          </w:tcPr>
          <w:p>
            <w:pPr>
              <w:jc w:val="center"/>
              <w:ind w:right="210"/>
              <w:spacing w:after="0"/>
              <w:rPr>
                <w:sz w:val="20"/>
                <w:szCs w:val="20"/>
                <w:color w:val="auto"/>
              </w:rPr>
            </w:pPr>
            <w:r>
              <w:rPr>
                <w:rFonts w:ascii="Calibri" w:cs="Calibri" w:eastAsia="Calibri" w:hAnsi="Calibri"/>
                <w:sz w:val="18"/>
                <w:szCs w:val="18"/>
                <w:b w:val="1"/>
                <w:bCs w:val="1"/>
                <w:color w:val="auto"/>
                <w:w w:val="95"/>
              </w:rPr>
              <w:t>Date</w:t>
            </w:r>
          </w:p>
        </w:tc>
        <w:tc>
          <w:tcPr>
            <w:tcW w:w="1060" w:type="dxa"/>
            <w:vAlign w:val="bottom"/>
            <w:tcBorders>
              <w:right w:val="single" w:sz="8" w:color="auto"/>
            </w:tcBorders>
            <w:vMerge w:val="restart"/>
          </w:tcPr>
          <w:p>
            <w:pPr>
              <w:jc w:val="center"/>
              <w:ind w:right="90"/>
              <w:spacing w:after="0"/>
              <w:rPr>
                <w:sz w:val="20"/>
                <w:szCs w:val="20"/>
                <w:color w:val="auto"/>
              </w:rPr>
            </w:pPr>
            <w:r>
              <w:rPr>
                <w:rFonts w:ascii="Calibri" w:cs="Calibri" w:eastAsia="Calibri" w:hAnsi="Calibri"/>
                <w:sz w:val="18"/>
                <w:szCs w:val="18"/>
                <w:b w:val="1"/>
                <w:bCs w:val="1"/>
                <w:color w:val="auto"/>
                <w:w w:val="97"/>
              </w:rPr>
              <w:t>Price</w:t>
            </w:r>
          </w:p>
        </w:tc>
        <w:tc>
          <w:tcPr>
            <w:tcW w:w="960" w:type="dxa"/>
            <w:vAlign w:val="bottom"/>
            <w:tcBorders>
              <w:right w:val="single" w:sz="8" w:color="auto"/>
            </w:tcBorders>
            <w:vMerge w:val="restart"/>
          </w:tcPr>
          <w:p>
            <w:pPr>
              <w:jc w:val="center"/>
              <w:ind w:right="170"/>
              <w:spacing w:after="0"/>
              <w:rPr>
                <w:sz w:val="20"/>
                <w:szCs w:val="20"/>
                <w:color w:val="auto"/>
              </w:rPr>
            </w:pPr>
            <w:r>
              <w:rPr>
                <w:rFonts w:ascii="Calibri" w:cs="Calibri" w:eastAsia="Calibri" w:hAnsi="Calibri"/>
                <w:sz w:val="18"/>
                <w:szCs w:val="18"/>
                <w:b w:val="1"/>
                <w:bCs w:val="1"/>
                <w:color w:val="auto"/>
                <w:w w:val="94"/>
              </w:rPr>
              <w:t>Granted</w:t>
            </w:r>
          </w:p>
        </w:tc>
        <w:tc>
          <w:tcPr>
            <w:tcW w:w="112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b w:val="1"/>
                <w:bCs w:val="1"/>
                <w:color w:val="00B050"/>
                <w:w w:val="95"/>
              </w:rPr>
              <w:t>Exercise</w:t>
            </w:r>
          </w:p>
        </w:tc>
        <w:tc>
          <w:tcPr>
            <w:tcW w:w="11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b w:val="1"/>
                <w:bCs w:val="1"/>
                <w:color w:val="FF0000"/>
                <w:w w:val="96"/>
              </w:rPr>
              <w:t>Shares</w:t>
            </w: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7"/>
              </w:rPr>
              <w:t>2/21/2017</w:t>
            </w:r>
          </w:p>
        </w:tc>
        <w:tc>
          <w:tcPr>
            <w:tcW w:w="1060" w:type="dxa"/>
            <w:vAlign w:val="bottom"/>
            <w:tcBorders>
              <w:right w:val="single" w:sz="8" w:color="auto"/>
            </w:tcBorders>
          </w:tcPr>
          <w:p>
            <w:pPr>
              <w:jc w:val="center"/>
              <w:ind w:left="50"/>
              <w:spacing w:after="0" w:line="213" w:lineRule="exact"/>
              <w:rPr>
                <w:sz w:val="20"/>
                <w:szCs w:val="20"/>
                <w:color w:val="auto"/>
              </w:rPr>
            </w:pPr>
            <w:r>
              <w:rPr>
                <w:rFonts w:ascii="Calibri" w:cs="Calibri" w:eastAsia="Calibri" w:hAnsi="Calibri"/>
                <w:sz w:val="18"/>
                <w:szCs w:val="18"/>
                <w:color w:val="auto"/>
                <w:w w:val="95"/>
              </w:rPr>
              <w:t>$48.33</w:t>
            </w:r>
          </w:p>
        </w:tc>
        <w:tc>
          <w:tcPr>
            <w:tcW w:w="960" w:type="dxa"/>
            <w:vAlign w:val="bottom"/>
            <w:tcBorders>
              <w:right w:val="single" w:sz="8" w:color="auto"/>
            </w:tcBorders>
          </w:tcPr>
          <w:p>
            <w:pPr>
              <w:jc w:val="center"/>
              <w:ind w:right="170"/>
              <w:spacing w:after="0" w:line="213" w:lineRule="exact"/>
              <w:rPr>
                <w:sz w:val="20"/>
                <w:szCs w:val="20"/>
                <w:color w:val="auto"/>
              </w:rPr>
            </w:pPr>
            <w:r>
              <w:rPr>
                <w:rFonts w:ascii="Calibri" w:cs="Calibri" w:eastAsia="Calibri" w:hAnsi="Calibri"/>
                <w:sz w:val="18"/>
                <w:szCs w:val="18"/>
                <w:color w:val="auto"/>
                <w:w w:val="99"/>
              </w:rPr>
              <w:t>17,606</w:t>
            </w:r>
          </w:p>
        </w:tc>
        <w:tc>
          <w:tcPr>
            <w:tcW w:w="112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5"/>
              </w:rPr>
              <w:t>10,000</w:t>
            </w:r>
          </w:p>
        </w:tc>
        <w:tc>
          <w:tcPr>
            <w:tcW w:w="1440" w:type="dxa"/>
            <w:vAlign w:val="bottom"/>
            <w:tcBorders>
              <w:right w:val="single" w:sz="8" w:color="auto"/>
            </w:tcBorders>
          </w:tcPr>
          <w:p>
            <w:pPr>
              <w:jc w:val="center"/>
              <w:ind w:right="270"/>
              <w:spacing w:after="0" w:line="213" w:lineRule="exact"/>
              <w:rPr>
                <w:sz w:val="20"/>
                <w:szCs w:val="20"/>
                <w:color w:val="auto"/>
              </w:rPr>
            </w:pPr>
            <w:r>
              <w:rPr>
                <w:rFonts w:ascii="Calibri" w:cs="Calibri" w:eastAsia="Calibri" w:hAnsi="Calibri"/>
                <w:sz w:val="18"/>
                <w:szCs w:val="18"/>
                <w:b w:val="1"/>
                <w:bCs w:val="1"/>
                <w:color w:val="00B050"/>
                <w:w w:val="97"/>
              </w:rPr>
              <w:t>7,606</w:t>
            </w:r>
          </w:p>
        </w:tc>
        <w:tc>
          <w:tcPr>
            <w:tcW w:w="114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FF0000"/>
              </w:rPr>
              <w:t>0</w:t>
            </w:r>
          </w:p>
        </w:tc>
        <w:tc>
          <w:tcPr>
            <w:tcW w:w="0" w:type="dxa"/>
            <w:vAlign w:val="bottom"/>
          </w:tcPr>
          <w:p>
            <w:pPr>
              <w:spacing w:after="0"/>
              <w:rPr>
                <w:sz w:val="1"/>
                <w:szCs w:val="1"/>
                <w:color w:val="auto"/>
              </w:rPr>
            </w:pPr>
          </w:p>
        </w:tc>
      </w:tr>
      <w:tr>
        <w:trPr>
          <w:trHeight w:val="50"/>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7"/>
              </w:rPr>
              <w:t>2/21/2018</w:t>
            </w:r>
          </w:p>
        </w:tc>
        <w:tc>
          <w:tcPr>
            <w:tcW w:w="1060" w:type="dxa"/>
            <w:vAlign w:val="bottom"/>
            <w:tcBorders>
              <w:right w:val="single" w:sz="8" w:color="auto"/>
            </w:tcBorders>
          </w:tcPr>
          <w:p>
            <w:pPr>
              <w:jc w:val="center"/>
              <w:ind w:left="50"/>
              <w:spacing w:after="0" w:line="213" w:lineRule="exact"/>
              <w:rPr>
                <w:sz w:val="20"/>
                <w:szCs w:val="20"/>
                <w:color w:val="auto"/>
              </w:rPr>
            </w:pPr>
            <w:r>
              <w:rPr>
                <w:rFonts w:ascii="Calibri" w:cs="Calibri" w:eastAsia="Calibri" w:hAnsi="Calibri"/>
                <w:sz w:val="18"/>
                <w:szCs w:val="18"/>
                <w:color w:val="auto"/>
                <w:w w:val="95"/>
              </w:rPr>
              <w:t>$75.18</w:t>
            </w:r>
          </w:p>
        </w:tc>
        <w:tc>
          <w:tcPr>
            <w:tcW w:w="960" w:type="dxa"/>
            <w:vAlign w:val="bottom"/>
            <w:tcBorders>
              <w:right w:val="single" w:sz="8" w:color="auto"/>
            </w:tcBorders>
          </w:tcPr>
          <w:p>
            <w:pPr>
              <w:jc w:val="center"/>
              <w:ind w:right="170"/>
              <w:spacing w:after="0" w:line="213" w:lineRule="exact"/>
              <w:rPr>
                <w:sz w:val="20"/>
                <w:szCs w:val="20"/>
                <w:color w:val="auto"/>
              </w:rPr>
            </w:pPr>
            <w:r>
              <w:rPr>
                <w:rFonts w:ascii="Calibri" w:cs="Calibri" w:eastAsia="Calibri" w:hAnsi="Calibri"/>
                <w:sz w:val="18"/>
                <w:szCs w:val="18"/>
                <w:color w:val="auto"/>
                <w:w w:val="99"/>
              </w:rPr>
              <w:t>14,552</w:t>
            </w:r>
          </w:p>
        </w:tc>
        <w:tc>
          <w:tcPr>
            <w:tcW w:w="112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87"/>
              </w:rPr>
              <w:t>0</w:t>
            </w:r>
          </w:p>
        </w:tc>
        <w:tc>
          <w:tcPr>
            <w:tcW w:w="1440" w:type="dxa"/>
            <w:vAlign w:val="bottom"/>
            <w:tcBorders>
              <w:right w:val="single" w:sz="8" w:color="auto"/>
            </w:tcBorders>
          </w:tcPr>
          <w:p>
            <w:pPr>
              <w:jc w:val="center"/>
              <w:ind w:right="290"/>
              <w:spacing w:after="0" w:line="213" w:lineRule="exact"/>
              <w:rPr>
                <w:sz w:val="20"/>
                <w:szCs w:val="20"/>
                <w:color w:val="auto"/>
              </w:rPr>
            </w:pPr>
            <w:r>
              <w:rPr>
                <w:rFonts w:ascii="Calibri" w:cs="Calibri" w:eastAsia="Calibri" w:hAnsi="Calibri"/>
                <w:sz w:val="18"/>
                <w:szCs w:val="18"/>
                <w:b w:val="1"/>
                <w:bCs w:val="1"/>
                <w:color w:val="00B050"/>
                <w:w w:val="99"/>
              </w:rPr>
              <w:t>14,552</w:t>
            </w:r>
          </w:p>
        </w:tc>
        <w:tc>
          <w:tcPr>
            <w:tcW w:w="114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FF0000"/>
              </w:rPr>
              <w:t>0</w:t>
            </w:r>
          </w:p>
        </w:tc>
        <w:tc>
          <w:tcPr>
            <w:tcW w:w="0" w:type="dxa"/>
            <w:vAlign w:val="bottom"/>
          </w:tcPr>
          <w:p>
            <w:pPr>
              <w:spacing w:after="0"/>
              <w:rPr>
                <w:sz w:val="1"/>
                <w:szCs w:val="1"/>
                <w:color w:val="auto"/>
              </w:rPr>
            </w:pPr>
          </w:p>
        </w:tc>
      </w:tr>
      <w:tr>
        <w:trPr>
          <w:trHeight w:val="51"/>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7"/>
              </w:rPr>
              <w:t>2/20/2019</w:t>
            </w:r>
          </w:p>
        </w:tc>
        <w:tc>
          <w:tcPr>
            <w:tcW w:w="1060" w:type="dxa"/>
            <w:vAlign w:val="bottom"/>
            <w:tcBorders>
              <w:right w:val="single" w:sz="8" w:color="auto"/>
            </w:tcBorders>
          </w:tcPr>
          <w:p>
            <w:pPr>
              <w:jc w:val="center"/>
              <w:ind w:left="50"/>
              <w:spacing w:after="0" w:line="213" w:lineRule="exact"/>
              <w:rPr>
                <w:sz w:val="20"/>
                <w:szCs w:val="20"/>
                <w:color w:val="auto"/>
              </w:rPr>
            </w:pPr>
            <w:r>
              <w:rPr>
                <w:rFonts w:ascii="Calibri" w:cs="Calibri" w:eastAsia="Calibri" w:hAnsi="Calibri"/>
                <w:sz w:val="18"/>
                <w:szCs w:val="18"/>
                <w:color w:val="auto"/>
                <w:w w:val="95"/>
              </w:rPr>
              <w:t>$74.07</w:t>
            </w:r>
          </w:p>
        </w:tc>
        <w:tc>
          <w:tcPr>
            <w:tcW w:w="960" w:type="dxa"/>
            <w:vAlign w:val="bottom"/>
            <w:tcBorders>
              <w:right w:val="single" w:sz="8" w:color="auto"/>
            </w:tcBorders>
          </w:tcPr>
          <w:p>
            <w:pPr>
              <w:jc w:val="center"/>
              <w:ind w:right="170"/>
              <w:spacing w:after="0" w:line="213" w:lineRule="exact"/>
              <w:rPr>
                <w:sz w:val="20"/>
                <w:szCs w:val="20"/>
                <w:color w:val="auto"/>
              </w:rPr>
            </w:pPr>
            <w:r>
              <w:rPr>
                <w:rFonts w:ascii="Calibri" w:cs="Calibri" w:eastAsia="Calibri" w:hAnsi="Calibri"/>
                <w:sz w:val="18"/>
                <w:szCs w:val="18"/>
                <w:color w:val="auto"/>
                <w:w w:val="99"/>
              </w:rPr>
              <w:t>16,120</w:t>
            </w:r>
          </w:p>
        </w:tc>
        <w:tc>
          <w:tcPr>
            <w:tcW w:w="112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87"/>
              </w:rPr>
              <w:t>0</w:t>
            </w:r>
          </w:p>
        </w:tc>
        <w:tc>
          <w:tcPr>
            <w:tcW w:w="1440" w:type="dxa"/>
            <w:vAlign w:val="bottom"/>
            <w:tcBorders>
              <w:right w:val="single" w:sz="8" w:color="auto"/>
            </w:tcBorders>
          </w:tcPr>
          <w:p>
            <w:pPr>
              <w:jc w:val="center"/>
              <w:ind w:right="290"/>
              <w:spacing w:after="0" w:line="213" w:lineRule="exact"/>
              <w:rPr>
                <w:sz w:val="20"/>
                <w:szCs w:val="20"/>
                <w:color w:val="auto"/>
              </w:rPr>
            </w:pPr>
            <w:r>
              <w:rPr>
                <w:rFonts w:ascii="Calibri" w:cs="Calibri" w:eastAsia="Calibri" w:hAnsi="Calibri"/>
                <w:sz w:val="18"/>
                <w:szCs w:val="18"/>
                <w:b w:val="1"/>
                <w:bCs w:val="1"/>
                <w:color w:val="00B050"/>
                <w:w w:val="99"/>
              </w:rPr>
              <w:t>16,120</w:t>
            </w:r>
          </w:p>
        </w:tc>
        <w:tc>
          <w:tcPr>
            <w:tcW w:w="114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FF0000"/>
              </w:rPr>
              <w:t>0</w:t>
            </w:r>
          </w:p>
        </w:tc>
        <w:tc>
          <w:tcPr>
            <w:tcW w:w="0" w:type="dxa"/>
            <w:vAlign w:val="bottom"/>
          </w:tcPr>
          <w:p>
            <w:pPr>
              <w:spacing w:after="0"/>
              <w:rPr>
                <w:sz w:val="1"/>
                <w:szCs w:val="1"/>
                <w:color w:val="auto"/>
              </w:rPr>
            </w:pPr>
          </w:p>
        </w:tc>
      </w:tr>
      <w:tr>
        <w:trPr>
          <w:trHeight w:val="51"/>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7"/>
              </w:rPr>
              <w:t>2/27/2020</w:t>
            </w:r>
          </w:p>
        </w:tc>
        <w:tc>
          <w:tcPr>
            <w:tcW w:w="1060" w:type="dxa"/>
            <w:vAlign w:val="bottom"/>
            <w:tcBorders>
              <w:right w:val="single" w:sz="8" w:color="auto"/>
            </w:tcBorders>
          </w:tcPr>
          <w:p>
            <w:pPr>
              <w:jc w:val="center"/>
              <w:ind w:left="50"/>
              <w:spacing w:after="0" w:line="213" w:lineRule="exact"/>
              <w:rPr>
                <w:sz w:val="20"/>
                <w:szCs w:val="20"/>
                <w:color w:val="auto"/>
              </w:rPr>
            </w:pPr>
            <w:r>
              <w:rPr>
                <w:rFonts w:ascii="Calibri" w:cs="Calibri" w:eastAsia="Calibri" w:hAnsi="Calibri"/>
                <w:sz w:val="18"/>
                <w:szCs w:val="18"/>
                <w:color w:val="auto"/>
                <w:w w:val="95"/>
              </w:rPr>
              <w:t>$80.66</w:t>
            </w:r>
          </w:p>
        </w:tc>
        <w:tc>
          <w:tcPr>
            <w:tcW w:w="960" w:type="dxa"/>
            <w:vAlign w:val="bottom"/>
            <w:tcBorders>
              <w:right w:val="single" w:sz="8" w:color="auto"/>
            </w:tcBorders>
          </w:tcPr>
          <w:p>
            <w:pPr>
              <w:jc w:val="center"/>
              <w:ind w:right="170"/>
              <w:spacing w:after="0" w:line="213" w:lineRule="exact"/>
              <w:rPr>
                <w:sz w:val="20"/>
                <w:szCs w:val="20"/>
                <w:color w:val="auto"/>
              </w:rPr>
            </w:pPr>
            <w:r>
              <w:rPr>
                <w:rFonts w:ascii="Calibri" w:cs="Calibri" w:eastAsia="Calibri" w:hAnsi="Calibri"/>
                <w:sz w:val="18"/>
                <w:szCs w:val="18"/>
                <w:color w:val="auto"/>
                <w:w w:val="99"/>
              </w:rPr>
              <w:t>18,715</w:t>
            </w:r>
          </w:p>
        </w:tc>
        <w:tc>
          <w:tcPr>
            <w:tcW w:w="112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87"/>
              </w:rPr>
              <w:t>0</w:t>
            </w:r>
          </w:p>
        </w:tc>
        <w:tc>
          <w:tcPr>
            <w:tcW w:w="1440" w:type="dxa"/>
            <w:vAlign w:val="bottom"/>
            <w:tcBorders>
              <w:right w:val="single" w:sz="8" w:color="auto"/>
            </w:tcBorders>
          </w:tcPr>
          <w:p>
            <w:pPr>
              <w:jc w:val="center"/>
              <w:ind w:right="290"/>
              <w:spacing w:after="0" w:line="213" w:lineRule="exact"/>
              <w:rPr>
                <w:sz w:val="20"/>
                <w:szCs w:val="20"/>
                <w:color w:val="auto"/>
              </w:rPr>
            </w:pPr>
            <w:r>
              <w:rPr>
                <w:rFonts w:ascii="Calibri" w:cs="Calibri" w:eastAsia="Calibri" w:hAnsi="Calibri"/>
                <w:sz w:val="18"/>
                <w:szCs w:val="18"/>
                <w:b w:val="1"/>
                <w:bCs w:val="1"/>
                <w:color w:val="00B050"/>
                <w:w w:val="99"/>
              </w:rPr>
              <w:t>16,594</w:t>
            </w:r>
          </w:p>
        </w:tc>
        <w:tc>
          <w:tcPr>
            <w:tcW w:w="114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FF0000"/>
                <w:w w:val="97"/>
              </w:rPr>
              <w:t>2,121</w:t>
            </w:r>
          </w:p>
        </w:tc>
        <w:tc>
          <w:tcPr>
            <w:tcW w:w="0" w:type="dxa"/>
            <w:vAlign w:val="bottom"/>
          </w:tcPr>
          <w:p>
            <w:pPr>
              <w:spacing w:after="0"/>
              <w:rPr>
                <w:sz w:val="1"/>
                <w:szCs w:val="1"/>
                <w:color w:val="auto"/>
              </w:rPr>
            </w:pPr>
          </w:p>
        </w:tc>
      </w:tr>
      <w:tr>
        <w:trPr>
          <w:trHeight w:val="50"/>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8"/>
              </w:rPr>
              <w:t>3/1/2021</w:t>
            </w:r>
          </w:p>
        </w:tc>
        <w:tc>
          <w:tcPr>
            <w:tcW w:w="1060" w:type="dxa"/>
            <w:vAlign w:val="bottom"/>
            <w:tcBorders>
              <w:right w:val="single" w:sz="8" w:color="auto"/>
            </w:tcBorders>
          </w:tcPr>
          <w:p>
            <w:pPr>
              <w:jc w:val="center"/>
              <w:ind w:left="30"/>
              <w:spacing w:after="0" w:line="213" w:lineRule="exact"/>
              <w:rPr>
                <w:sz w:val="20"/>
                <w:szCs w:val="20"/>
                <w:color w:val="auto"/>
              </w:rPr>
            </w:pPr>
            <w:r>
              <w:rPr>
                <w:rFonts w:ascii="Calibri" w:cs="Calibri" w:eastAsia="Calibri" w:hAnsi="Calibri"/>
                <w:sz w:val="18"/>
                <w:szCs w:val="18"/>
                <w:color w:val="auto"/>
                <w:w w:val="97"/>
              </w:rPr>
              <w:t>$102.23</w:t>
            </w:r>
          </w:p>
        </w:tc>
        <w:tc>
          <w:tcPr>
            <w:tcW w:w="960" w:type="dxa"/>
            <w:vAlign w:val="bottom"/>
            <w:tcBorders>
              <w:right w:val="single" w:sz="8" w:color="auto"/>
            </w:tcBorders>
          </w:tcPr>
          <w:p>
            <w:pPr>
              <w:jc w:val="center"/>
              <w:ind w:right="170"/>
              <w:spacing w:after="0" w:line="213" w:lineRule="exact"/>
              <w:rPr>
                <w:sz w:val="20"/>
                <w:szCs w:val="20"/>
                <w:color w:val="auto"/>
              </w:rPr>
            </w:pPr>
            <w:r>
              <w:rPr>
                <w:rFonts w:ascii="Calibri" w:cs="Calibri" w:eastAsia="Calibri" w:hAnsi="Calibri"/>
                <w:sz w:val="18"/>
                <w:szCs w:val="18"/>
                <w:color w:val="auto"/>
                <w:w w:val="99"/>
              </w:rPr>
              <w:t>12,931</w:t>
            </w:r>
          </w:p>
        </w:tc>
        <w:tc>
          <w:tcPr>
            <w:tcW w:w="112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87"/>
              </w:rPr>
              <w:t>0</w:t>
            </w:r>
          </w:p>
        </w:tc>
        <w:tc>
          <w:tcPr>
            <w:tcW w:w="1440" w:type="dxa"/>
            <w:vAlign w:val="bottom"/>
            <w:tcBorders>
              <w:right w:val="single" w:sz="8" w:color="auto"/>
            </w:tcBorders>
          </w:tcPr>
          <w:p>
            <w:pPr>
              <w:jc w:val="center"/>
              <w:ind w:right="270"/>
              <w:spacing w:after="0" w:line="213" w:lineRule="exact"/>
              <w:rPr>
                <w:sz w:val="20"/>
                <w:szCs w:val="20"/>
                <w:color w:val="auto"/>
              </w:rPr>
            </w:pPr>
            <w:r>
              <w:rPr>
                <w:rFonts w:ascii="Calibri" w:cs="Calibri" w:eastAsia="Calibri" w:hAnsi="Calibri"/>
                <w:sz w:val="18"/>
                <w:szCs w:val="18"/>
                <w:b w:val="1"/>
                <w:bCs w:val="1"/>
                <w:color w:val="00B050"/>
                <w:w w:val="97"/>
              </w:rPr>
              <w:t>7,113</w:t>
            </w:r>
          </w:p>
        </w:tc>
        <w:tc>
          <w:tcPr>
            <w:tcW w:w="114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FF0000"/>
                <w:w w:val="97"/>
              </w:rPr>
              <w:t>5,818</w:t>
            </w:r>
          </w:p>
        </w:tc>
        <w:tc>
          <w:tcPr>
            <w:tcW w:w="0" w:type="dxa"/>
            <w:vAlign w:val="bottom"/>
          </w:tcPr>
          <w:p>
            <w:pPr>
              <w:spacing w:after="0"/>
              <w:rPr>
                <w:sz w:val="1"/>
                <w:szCs w:val="1"/>
                <w:color w:val="auto"/>
              </w:rPr>
            </w:pPr>
          </w:p>
        </w:tc>
      </w:tr>
      <w:tr>
        <w:trPr>
          <w:trHeight w:val="50"/>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8"/>
              </w:rPr>
              <w:t>3/1/2022</w:t>
            </w:r>
          </w:p>
        </w:tc>
        <w:tc>
          <w:tcPr>
            <w:tcW w:w="1060" w:type="dxa"/>
            <w:vAlign w:val="bottom"/>
            <w:tcBorders>
              <w:right w:val="single" w:sz="8" w:color="auto"/>
            </w:tcBorders>
          </w:tcPr>
          <w:p>
            <w:pPr>
              <w:jc w:val="center"/>
              <w:ind w:left="50"/>
              <w:spacing w:after="0" w:line="213" w:lineRule="exact"/>
              <w:rPr>
                <w:sz w:val="20"/>
                <w:szCs w:val="20"/>
                <w:color w:val="auto"/>
              </w:rPr>
            </w:pPr>
            <w:r>
              <w:rPr>
                <w:rFonts w:ascii="Calibri" w:cs="Calibri" w:eastAsia="Calibri" w:hAnsi="Calibri"/>
                <w:sz w:val="18"/>
                <w:szCs w:val="18"/>
                <w:color w:val="auto"/>
                <w:w w:val="95"/>
              </w:rPr>
              <w:t>$86.76</w:t>
            </w:r>
          </w:p>
        </w:tc>
        <w:tc>
          <w:tcPr>
            <w:tcW w:w="960" w:type="dxa"/>
            <w:vAlign w:val="bottom"/>
            <w:tcBorders>
              <w:right w:val="single" w:sz="8" w:color="auto"/>
            </w:tcBorders>
          </w:tcPr>
          <w:p>
            <w:pPr>
              <w:jc w:val="center"/>
              <w:ind w:right="170"/>
              <w:spacing w:after="0" w:line="213" w:lineRule="exact"/>
              <w:rPr>
                <w:sz w:val="20"/>
                <w:szCs w:val="20"/>
                <w:color w:val="auto"/>
              </w:rPr>
            </w:pPr>
            <w:r>
              <w:rPr>
                <w:rFonts w:ascii="Calibri" w:cs="Calibri" w:eastAsia="Calibri" w:hAnsi="Calibri"/>
                <w:sz w:val="18"/>
                <w:szCs w:val="18"/>
                <w:color w:val="auto"/>
                <w:w w:val="99"/>
              </w:rPr>
              <w:t>15,106</w:t>
            </w:r>
          </w:p>
        </w:tc>
        <w:tc>
          <w:tcPr>
            <w:tcW w:w="112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87"/>
              </w:rPr>
              <w:t>0</w:t>
            </w:r>
          </w:p>
        </w:tc>
        <w:tc>
          <w:tcPr>
            <w:tcW w:w="1440" w:type="dxa"/>
            <w:vAlign w:val="bottom"/>
            <w:tcBorders>
              <w:right w:val="single" w:sz="8" w:color="auto"/>
            </w:tcBorders>
          </w:tcPr>
          <w:p>
            <w:pPr>
              <w:jc w:val="center"/>
              <w:ind w:right="270"/>
              <w:spacing w:after="0" w:line="213" w:lineRule="exact"/>
              <w:rPr>
                <w:sz w:val="20"/>
                <w:szCs w:val="20"/>
                <w:color w:val="auto"/>
              </w:rPr>
            </w:pPr>
            <w:r>
              <w:rPr>
                <w:rFonts w:ascii="Calibri" w:cs="Calibri" w:eastAsia="Calibri" w:hAnsi="Calibri"/>
                <w:sz w:val="18"/>
                <w:szCs w:val="18"/>
                <w:b w:val="1"/>
                <w:bCs w:val="1"/>
                <w:color w:val="00B050"/>
                <w:w w:val="97"/>
              </w:rPr>
              <w:t>3,323</w:t>
            </w:r>
          </w:p>
        </w:tc>
        <w:tc>
          <w:tcPr>
            <w:tcW w:w="114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FF0000"/>
                <w:w w:val="99"/>
              </w:rPr>
              <w:t>11,783</w:t>
            </w:r>
          </w:p>
        </w:tc>
        <w:tc>
          <w:tcPr>
            <w:tcW w:w="0" w:type="dxa"/>
            <w:vAlign w:val="bottom"/>
          </w:tcPr>
          <w:p>
            <w:pPr>
              <w:spacing w:after="0"/>
              <w:rPr>
                <w:sz w:val="1"/>
                <w:szCs w:val="1"/>
                <w:color w:val="auto"/>
              </w:rPr>
            </w:pPr>
          </w:p>
        </w:tc>
      </w:tr>
      <w:tr>
        <w:trPr>
          <w:trHeight w:val="50"/>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181618"/>
        </w:rPr>
        <w:t>Restricted Stock Units (RSUs)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181618"/>
        </w:rPr>
        <w:t>Unvested RSUs are forfeited and cancelled upon terminaton on the Terminaton Date.</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400" w:type="dxa"/>
            <w:vAlign w:val="bottom"/>
            <w:tcBorders>
              <w:top w:val="single" w:sz="8" w:color="auto"/>
              <w:left w:val="single" w:sz="8" w:color="auto"/>
              <w:right w:val="single" w:sz="8" w:color="auto"/>
            </w:tcBorders>
          </w:tcPr>
          <w:p>
            <w:pPr>
              <w:jc w:val="center"/>
              <w:ind w:right="210"/>
              <w:spacing w:after="0"/>
              <w:rPr>
                <w:sz w:val="20"/>
                <w:szCs w:val="20"/>
                <w:color w:val="auto"/>
              </w:rPr>
            </w:pPr>
            <w:r>
              <w:rPr>
                <w:rFonts w:ascii="Calibri" w:cs="Calibri" w:eastAsia="Calibri" w:hAnsi="Calibri"/>
                <w:sz w:val="18"/>
                <w:szCs w:val="18"/>
                <w:b w:val="1"/>
                <w:bCs w:val="1"/>
                <w:color w:val="auto"/>
                <w:w w:val="98"/>
              </w:rPr>
              <w:t>Grant</w:t>
            </w:r>
          </w:p>
        </w:tc>
        <w:tc>
          <w:tcPr>
            <w:tcW w:w="900" w:type="dxa"/>
            <w:vAlign w:val="bottom"/>
            <w:tcBorders>
              <w:top w:val="single" w:sz="8" w:color="auto"/>
              <w:right w:val="single" w:sz="8" w:color="auto"/>
            </w:tcBorders>
            <w:vMerge w:val="restart"/>
          </w:tcPr>
          <w:p>
            <w:pPr>
              <w:jc w:val="center"/>
              <w:spacing w:after="0"/>
              <w:rPr>
                <w:sz w:val="20"/>
                <w:szCs w:val="20"/>
                <w:color w:val="auto"/>
              </w:rPr>
            </w:pPr>
            <w:r>
              <w:rPr>
                <w:rFonts w:ascii="Calibri" w:cs="Calibri" w:eastAsia="Calibri" w:hAnsi="Calibri"/>
                <w:sz w:val="18"/>
                <w:szCs w:val="18"/>
                <w:b w:val="1"/>
                <w:bCs w:val="1"/>
                <w:color w:val="auto"/>
                <w:w w:val="99"/>
              </w:rPr>
              <w:t>Type</w:t>
            </w:r>
          </w:p>
        </w:tc>
        <w:tc>
          <w:tcPr>
            <w:tcW w:w="98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b w:val="1"/>
                <w:bCs w:val="1"/>
                <w:color w:val="auto"/>
                <w:w w:val="96"/>
              </w:rPr>
              <w:t>Units</w:t>
            </w:r>
          </w:p>
        </w:tc>
        <w:tc>
          <w:tcPr>
            <w:tcW w:w="1120" w:type="dxa"/>
            <w:vAlign w:val="bottom"/>
            <w:tcBorders>
              <w:top w:val="single" w:sz="8" w:color="auto"/>
              <w:right w:val="single" w:sz="8" w:color="auto"/>
            </w:tcBorders>
          </w:tcPr>
          <w:p>
            <w:pPr>
              <w:jc w:val="center"/>
              <w:ind w:right="250"/>
              <w:spacing w:after="0"/>
              <w:rPr>
                <w:sz w:val="20"/>
                <w:szCs w:val="20"/>
                <w:color w:val="auto"/>
              </w:rPr>
            </w:pPr>
            <w:r>
              <w:rPr>
                <w:rFonts w:ascii="Calibri" w:cs="Calibri" w:eastAsia="Calibri" w:hAnsi="Calibri"/>
                <w:sz w:val="18"/>
                <w:szCs w:val="18"/>
                <w:b w:val="1"/>
                <w:bCs w:val="1"/>
                <w:color w:val="auto"/>
                <w:w w:val="96"/>
              </w:rPr>
              <w:t>Vested</w:t>
            </w:r>
          </w:p>
        </w:tc>
        <w:tc>
          <w:tcPr>
            <w:tcW w:w="14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b w:val="1"/>
                <w:bCs w:val="1"/>
                <w:color w:val="FF0000"/>
                <w:w w:val="96"/>
              </w:rPr>
              <w:t>Cancelled</w:t>
            </w:r>
          </w:p>
        </w:tc>
        <w:tc>
          <w:tcPr>
            <w:tcW w:w="0" w:type="dxa"/>
            <w:vAlign w:val="bottom"/>
          </w:tcPr>
          <w:p>
            <w:pPr>
              <w:spacing w:after="0"/>
              <w:rPr>
                <w:sz w:val="1"/>
                <w:szCs w:val="1"/>
                <w:color w:val="auto"/>
              </w:rPr>
            </w:pPr>
          </w:p>
        </w:tc>
      </w:tr>
      <w:tr>
        <w:trPr>
          <w:trHeight w:val="113"/>
        </w:trPr>
        <w:tc>
          <w:tcPr>
            <w:tcW w:w="1400" w:type="dxa"/>
            <w:vAlign w:val="bottom"/>
            <w:tcBorders>
              <w:left w:val="single" w:sz="8" w:color="auto"/>
              <w:right w:val="single" w:sz="8" w:color="auto"/>
            </w:tcBorders>
            <w:vMerge w:val="restart"/>
          </w:tcPr>
          <w:p>
            <w:pPr>
              <w:jc w:val="center"/>
              <w:ind w:right="210"/>
              <w:spacing w:after="0"/>
              <w:rPr>
                <w:sz w:val="20"/>
                <w:szCs w:val="20"/>
                <w:color w:val="auto"/>
              </w:rPr>
            </w:pPr>
            <w:r>
              <w:rPr>
                <w:rFonts w:ascii="Calibri" w:cs="Calibri" w:eastAsia="Calibri" w:hAnsi="Calibri"/>
                <w:sz w:val="18"/>
                <w:szCs w:val="18"/>
                <w:b w:val="1"/>
                <w:bCs w:val="1"/>
                <w:color w:val="auto"/>
                <w:w w:val="95"/>
              </w:rPr>
              <w:t>Date</w:t>
            </w:r>
          </w:p>
        </w:tc>
        <w:tc>
          <w:tcPr>
            <w:tcW w:w="90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b w:val="1"/>
                <w:bCs w:val="1"/>
                <w:color w:val="auto"/>
                <w:w w:val="97"/>
              </w:rPr>
              <w:t>Granted</w:t>
            </w:r>
          </w:p>
        </w:tc>
        <w:tc>
          <w:tcPr>
            <w:tcW w:w="1120" w:type="dxa"/>
            <w:vAlign w:val="bottom"/>
            <w:tcBorders>
              <w:right w:val="single" w:sz="8" w:color="auto"/>
            </w:tcBorders>
            <w:vMerge w:val="restart"/>
          </w:tcPr>
          <w:p>
            <w:pPr>
              <w:jc w:val="center"/>
              <w:ind w:right="210"/>
              <w:spacing w:after="0"/>
              <w:rPr>
                <w:sz w:val="20"/>
                <w:szCs w:val="20"/>
                <w:color w:val="auto"/>
              </w:rPr>
            </w:pPr>
            <w:r>
              <w:rPr>
                <w:rFonts w:ascii="Calibri" w:cs="Calibri" w:eastAsia="Calibri" w:hAnsi="Calibri"/>
                <w:sz w:val="18"/>
                <w:szCs w:val="18"/>
                <w:b w:val="1"/>
                <w:bCs w:val="1"/>
                <w:color w:val="auto"/>
                <w:w w:val="96"/>
              </w:rPr>
              <w:t>Units</w:t>
            </w:r>
          </w:p>
        </w:tc>
        <w:tc>
          <w:tcPr>
            <w:tcW w:w="144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8"/>
                <w:szCs w:val="18"/>
                <w:b w:val="1"/>
                <w:bCs w:val="1"/>
                <w:color w:val="FF0000"/>
                <w:w w:val="96"/>
              </w:rPr>
              <w:t>Units</w:t>
            </w: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right w:val="single" w:sz="8" w:color="auto"/>
            </w:tcBorders>
            <w:vMerge w:val="continue"/>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8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7"/>
              </w:rPr>
              <w:t>2/27/2020</w:t>
            </w:r>
          </w:p>
        </w:tc>
        <w:tc>
          <w:tcPr>
            <w:tcW w:w="90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4"/>
              </w:rPr>
              <w:t>RSU</w:t>
            </w:r>
          </w:p>
        </w:tc>
        <w:tc>
          <w:tcPr>
            <w:tcW w:w="98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7"/>
              </w:rPr>
              <w:t>3,719</w:t>
            </w:r>
          </w:p>
        </w:tc>
        <w:tc>
          <w:tcPr>
            <w:tcW w:w="112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rPr>
              <w:t>3,298</w:t>
            </w:r>
          </w:p>
        </w:tc>
        <w:tc>
          <w:tcPr>
            <w:tcW w:w="144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FF0000"/>
                <w:w w:val="94"/>
              </w:rPr>
              <w:t>421</w:t>
            </w:r>
          </w:p>
        </w:tc>
        <w:tc>
          <w:tcPr>
            <w:tcW w:w="0" w:type="dxa"/>
            <w:vAlign w:val="bottom"/>
          </w:tcPr>
          <w:p>
            <w:pPr>
              <w:spacing w:after="0"/>
              <w:rPr>
                <w:sz w:val="1"/>
                <w:szCs w:val="1"/>
                <w:color w:val="auto"/>
              </w:rPr>
            </w:pPr>
          </w:p>
        </w:tc>
      </w:tr>
      <w:tr>
        <w:trPr>
          <w:trHeight w:val="50"/>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8"/>
              </w:rPr>
              <w:t>3/1/2021</w:t>
            </w:r>
          </w:p>
        </w:tc>
        <w:tc>
          <w:tcPr>
            <w:tcW w:w="90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4"/>
              </w:rPr>
              <w:t>RSU</w:t>
            </w:r>
          </w:p>
        </w:tc>
        <w:tc>
          <w:tcPr>
            <w:tcW w:w="98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7"/>
              </w:rPr>
              <w:t>2,935</w:t>
            </w:r>
          </w:p>
        </w:tc>
        <w:tc>
          <w:tcPr>
            <w:tcW w:w="112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rPr>
              <w:t>1,615</w:t>
            </w:r>
          </w:p>
        </w:tc>
        <w:tc>
          <w:tcPr>
            <w:tcW w:w="144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FF0000"/>
                <w:w w:val="97"/>
              </w:rPr>
              <w:t>1,320</w:t>
            </w:r>
          </w:p>
        </w:tc>
        <w:tc>
          <w:tcPr>
            <w:tcW w:w="0" w:type="dxa"/>
            <w:vAlign w:val="bottom"/>
          </w:tcPr>
          <w:p>
            <w:pPr>
              <w:spacing w:after="0"/>
              <w:rPr>
                <w:sz w:val="1"/>
                <w:szCs w:val="1"/>
                <w:color w:val="auto"/>
              </w:rPr>
            </w:pPr>
          </w:p>
        </w:tc>
      </w:tr>
      <w:tr>
        <w:trPr>
          <w:trHeight w:val="50"/>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8"/>
              </w:rPr>
              <w:t>3/1/2022</w:t>
            </w:r>
          </w:p>
        </w:tc>
        <w:tc>
          <w:tcPr>
            <w:tcW w:w="90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4"/>
              </w:rPr>
              <w:t>RSU</w:t>
            </w:r>
          </w:p>
        </w:tc>
        <w:tc>
          <w:tcPr>
            <w:tcW w:w="98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7"/>
              </w:rPr>
              <w:t>3,458</w:t>
            </w:r>
          </w:p>
        </w:tc>
        <w:tc>
          <w:tcPr>
            <w:tcW w:w="112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4"/>
              </w:rPr>
              <w:t>761</w:t>
            </w:r>
          </w:p>
        </w:tc>
        <w:tc>
          <w:tcPr>
            <w:tcW w:w="144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FF0000"/>
                <w:w w:val="97"/>
              </w:rPr>
              <w:t>2,697</w:t>
            </w:r>
          </w:p>
        </w:tc>
        <w:tc>
          <w:tcPr>
            <w:tcW w:w="0" w:type="dxa"/>
            <w:vAlign w:val="bottom"/>
          </w:tcPr>
          <w:p>
            <w:pPr>
              <w:spacing w:after="0"/>
              <w:rPr>
                <w:sz w:val="1"/>
                <w:szCs w:val="1"/>
                <w:color w:val="auto"/>
              </w:rPr>
            </w:pPr>
          </w:p>
        </w:tc>
      </w:tr>
      <w:tr>
        <w:trPr>
          <w:trHeight w:val="50"/>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181618"/>
        </w:rPr>
        <w:t>Performance Share Units (PSUs)</w:t>
      </w:r>
    </w:p>
    <w:p>
      <w:pPr>
        <w:spacing w:after="0" w:line="64" w:lineRule="exact"/>
        <w:rPr>
          <w:sz w:val="20"/>
          <w:szCs w:val="20"/>
          <w:color w:val="auto"/>
        </w:rPr>
      </w:pPr>
    </w:p>
    <w:p>
      <w:pPr>
        <w:spacing w:after="0"/>
        <w:rPr>
          <w:sz w:val="20"/>
          <w:szCs w:val="20"/>
          <w:color w:val="auto"/>
        </w:rPr>
      </w:pPr>
      <w:r>
        <w:rPr>
          <w:rFonts w:ascii="Calibri" w:cs="Calibri" w:eastAsia="Calibri" w:hAnsi="Calibri"/>
          <w:sz w:val="18"/>
          <w:szCs w:val="18"/>
          <w:color w:val="181618"/>
        </w:rPr>
        <w:t>Prorated porton of PSUs will vest and be paid out based on actual performance on the original vestng date.</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1400" w:type="dxa"/>
            <w:vAlign w:val="bottom"/>
            <w:tcBorders>
              <w:top w:val="single" w:sz="8" w:color="auto"/>
              <w:left w:val="single" w:sz="8" w:color="auto"/>
              <w:right w:val="single" w:sz="8" w:color="auto"/>
            </w:tcBorders>
          </w:tcPr>
          <w:p>
            <w:pPr>
              <w:jc w:val="center"/>
              <w:ind w:right="210"/>
              <w:spacing w:after="0"/>
              <w:rPr>
                <w:sz w:val="20"/>
                <w:szCs w:val="20"/>
                <w:color w:val="auto"/>
              </w:rPr>
            </w:pPr>
            <w:r>
              <w:rPr>
                <w:rFonts w:ascii="Calibri" w:cs="Calibri" w:eastAsia="Calibri" w:hAnsi="Calibri"/>
                <w:sz w:val="18"/>
                <w:szCs w:val="18"/>
                <w:b w:val="1"/>
                <w:bCs w:val="1"/>
                <w:color w:val="auto"/>
                <w:w w:val="98"/>
              </w:rPr>
              <w:t>Grant</w:t>
            </w:r>
          </w:p>
        </w:tc>
        <w:tc>
          <w:tcPr>
            <w:tcW w:w="1140" w:type="dxa"/>
            <w:vAlign w:val="bottom"/>
            <w:tcBorders>
              <w:top w:val="single" w:sz="8" w:color="auto"/>
              <w:right w:val="single" w:sz="8" w:color="auto"/>
            </w:tcBorders>
          </w:tcPr>
          <w:p>
            <w:pPr>
              <w:ind w:left="260"/>
              <w:spacing w:after="0"/>
              <w:rPr>
                <w:sz w:val="20"/>
                <w:szCs w:val="20"/>
                <w:color w:val="auto"/>
              </w:rPr>
            </w:pPr>
            <w:r>
              <w:rPr>
                <w:rFonts w:ascii="Calibri" w:cs="Calibri" w:eastAsia="Calibri" w:hAnsi="Calibri"/>
                <w:sz w:val="18"/>
                <w:szCs w:val="18"/>
                <w:b w:val="1"/>
                <w:bCs w:val="1"/>
                <w:color w:val="auto"/>
              </w:rPr>
              <w:t>Type</w:t>
            </w:r>
          </w:p>
        </w:tc>
        <w:tc>
          <w:tcPr>
            <w:tcW w:w="100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b w:val="1"/>
                <w:bCs w:val="1"/>
                <w:color w:val="auto"/>
                <w:w w:val="96"/>
              </w:rPr>
              <w:t>Units</w:t>
            </w:r>
          </w:p>
        </w:tc>
        <w:tc>
          <w:tcPr>
            <w:tcW w:w="1020" w:type="dxa"/>
            <w:vAlign w:val="bottom"/>
            <w:tcBorders>
              <w:top w:val="single" w:sz="8" w:color="auto"/>
              <w:right w:val="single" w:sz="8" w:color="auto"/>
            </w:tcBorders>
          </w:tcPr>
          <w:p>
            <w:pPr>
              <w:ind w:left="140"/>
              <w:spacing w:after="0"/>
              <w:rPr>
                <w:sz w:val="20"/>
                <w:szCs w:val="20"/>
                <w:color w:val="auto"/>
              </w:rPr>
            </w:pPr>
            <w:r>
              <w:rPr>
                <w:rFonts w:ascii="Calibri" w:cs="Calibri" w:eastAsia="Calibri" w:hAnsi="Calibri"/>
                <w:sz w:val="18"/>
                <w:szCs w:val="18"/>
                <w:b w:val="1"/>
                <w:bCs w:val="1"/>
                <w:color w:val="auto"/>
              </w:rPr>
              <w:t>Prorata</w:t>
            </w:r>
          </w:p>
        </w:tc>
        <w:tc>
          <w:tcPr>
            <w:tcW w:w="1200" w:type="dxa"/>
            <w:vAlign w:val="bottom"/>
            <w:tcBorders>
              <w:top w:val="single" w:sz="8" w:color="auto"/>
              <w:right w:val="single" w:sz="8" w:color="auto"/>
            </w:tcBorders>
          </w:tcPr>
          <w:p>
            <w:pPr>
              <w:jc w:val="center"/>
              <w:ind w:right="50"/>
              <w:spacing w:after="0"/>
              <w:rPr>
                <w:sz w:val="20"/>
                <w:szCs w:val="20"/>
                <w:color w:val="auto"/>
              </w:rPr>
            </w:pPr>
            <w:r>
              <w:rPr>
                <w:rFonts w:ascii="Calibri" w:cs="Calibri" w:eastAsia="Calibri" w:hAnsi="Calibri"/>
                <w:sz w:val="18"/>
                <w:szCs w:val="18"/>
                <w:b w:val="1"/>
                <w:bCs w:val="1"/>
                <w:color w:val="auto"/>
                <w:w w:val="94"/>
              </w:rPr>
              <w:t>Payout</w:t>
            </w:r>
          </w:p>
        </w:tc>
        <w:tc>
          <w:tcPr>
            <w:tcW w:w="1140" w:type="dxa"/>
            <w:vAlign w:val="bottom"/>
            <w:tcBorders>
              <w:top w:val="single" w:sz="8" w:color="auto"/>
              <w:right w:val="single" w:sz="8" w:color="auto"/>
            </w:tcBorders>
          </w:tcPr>
          <w:p>
            <w:pPr>
              <w:jc w:val="center"/>
              <w:spacing w:after="0"/>
              <w:rPr>
                <w:sz w:val="20"/>
                <w:szCs w:val="20"/>
                <w:color w:val="auto"/>
              </w:rPr>
            </w:pPr>
            <w:r>
              <w:rPr>
                <w:rFonts w:ascii="Calibri" w:cs="Calibri" w:eastAsia="Calibri" w:hAnsi="Calibri"/>
                <w:sz w:val="18"/>
                <w:szCs w:val="18"/>
                <w:b w:val="1"/>
                <w:bCs w:val="1"/>
                <w:color w:val="FF0000"/>
                <w:w w:val="99"/>
              </w:rPr>
              <w:t>Cancelled</w:t>
            </w:r>
          </w:p>
        </w:tc>
      </w:tr>
      <w:tr>
        <w:trPr>
          <w:trHeight w:val="216"/>
        </w:trPr>
        <w:tc>
          <w:tcPr>
            <w:tcW w:w="1400" w:type="dxa"/>
            <w:vAlign w:val="bottom"/>
            <w:tcBorders>
              <w:left w:val="single" w:sz="8" w:color="auto"/>
              <w:right w:val="single" w:sz="8" w:color="auto"/>
            </w:tcBorders>
          </w:tcPr>
          <w:p>
            <w:pPr>
              <w:jc w:val="center"/>
              <w:ind w:right="210"/>
              <w:spacing w:after="0" w:line="216" w:lineRule="exact"/>
              <w:rPr>
                <w:sz w:val="20"/>
                <w:szCs w:val="20"/>
                <w:color w:val="auto"/>
              </w:rPr>
            </w:pPr>
            <w:r>
              <w:rPr>
                <w:rFonts w:ascii="Calibri" w:cs="Calibri" w:eastAsia="Calibri" w:hAnsi="Calibri"/>
                <w:sz w:val="18"/>
                <w:szCs w:val="18"/>
                <w:b w:val="1"/>
                <w:bCs w:val="1"/>
                <w:color w:val="auto"/>
                <w:w w:val="95"/>
              </w:rPr>
              <w:t>Date</w:t>
            </w:r>
          </w:p>
        </w:tc>
        <w:tc>
          <w:tcPr>
            <w:tcW w:w="11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18"/>
                <w:szCs w:val="18"/>
                <w:b w:val="1"/>
                <w:bCs w:val="1"/>
                <w:color w:val="auto"/>
                <w:w w:val="94"/>
              </w:rPr>
              <w:t>Granted</w:t>
            </w:r>
          </w:p>
        </w:tc>
        <w:tc>
          <w:tcPr>
            <w:tcW w:w="1020" w:type="dxa"/>
            <w:vAlign w:val="bottom"/>
            <w:tcBorders>
              <w:right w:val="single" w:sz="8" w:color="auto"/>
            </w:tcBorders>
          </w:tcPr>
          <w:p>
            <w:pPr>
              <w:ind w:left="140"/>
              <w:spacing w:after="0" w:line="216" w:lineRule="exact"/>
              <w:rPr>
                <w:sz w:val="20"/>
                <w:szCs w:val="20"/>
                <w:color w:val="auto"/>
              </w:rPr>
            </w:pPr>
            <w:r>
              <w:rPr>
                <w:rFonts w:ascii="Calibri" w:cs="Calibri" w:eastAsia="Calibri" w:hAnsi="Calibri"/>
                <w:sz w:val="18"/>
                <w:szCs w:val="18"/>
                <w:b w:val="1"/>
                <w:bCs w:val="1"/>
                <w:color w:val="auto"/>
              </w:rPr>
              <w:t>Vestng</w:t>
            </w:r>
          </w:p>
        </w:tc>
        <w:tc>
          <w:tcPr>
            <w:tcW w:w="1200" w:type="dxa"/>
            <w:vAlign w:val="bottom"/>
            <w:tcBorders>
              <w:right w:val="single" w:sz="8" w:color="auto"/>
            </w:tcBorders>
          </w:tcPr>
          <w:p>
            <w:pPr>
              <w:jc w:val="center"/>
              <w:ind w:right="50"/>
              <w:spacing w:after="0" w:line="216" w:lineRule="exact"/>
              <w:rPr>
                <w:sz w:val="20"/>
                <w:szCs w:val="20"/>
                <w:color w:val="auto"/>
              </w:rPr>
            </w:pPr>
            <w:r>
              <w:rPr>
                <w:rFonts w:ascii="Calibri" w:cs="Calibri" w:eastAsia="Calibri" w:hAnsi="Calibri"/>
                <w:sz w:val="18"/>
                <w:szCs w:val="18"/>
                <w:b w:val="1"/>
                <w:bCs w:val="1"/>
                <w:color w:val="auto"/>
                <w:w w:val="95"/>
              </w:rPr>
              <w:t>Date</w:t>
            </w:r>
          </w:p>
        </w:tc>
        <w:tc>
          <w:tcPr>
            <w:tcW w:w="1140" w:type="dxa"/>
            <w:vAlign w:val="bottom"/>
            <w:tcBorders>
              <w:right w:val="single" w:sz="8" w:color="auto"/>
            </w:tcBorders>
          </w:tcPr>
          <w:p>
            <w:pPr>
              <w:jc w:val="center"/>
              <w:spacing w:after="0" w:line="216" w:lineRule="exact"/>
              <w:rPr>
                <w:sz w:val="20"/>
                <w:szCs w:val="20"/>
                <w:color w:val="auto"/>
              </w:rPr>
            </w:pPr>
            <w:r>
              <w:rPr>
                <w:rFonts w:ascii="Calibri" w:cs="Calibri" w:eastAsia="Calibri" w:hAnsi="Calibri"/>
                <w:sz w:val="18"/>
                <w:szCs w:val="18"/>
                <w:b w:val="1"/>
                <w:bCs w:val="1"/>
                <w:color w:val="FF0000"/>
              </w:rPr>
              <w:t>Units</w:t>
            </w: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r>
      <w:tr>
        <w:trPr>
          <w:trHeight w:val="227"/>
        </w:trPr>
        <w:tc>
          <w:tcPr>
            <w:tcW w:w="14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7"/>
              </w:rPr>
              <w:t>2/27/2020</w:t>
            </w:r>
          </w:p>
        </w:tc>
        <w:tc>
          <w:tcPr>
            <w:tcW w:w="1140" w:type="dxa"/>
            <w:vAlign w:val="bottom"/>
            <w:tcBorders>
              <w:right w:val="single" w:sz="8" w:color="auto"/>
            </w:tcBorders>
          </w:tcPr>
          <w:p>
            <w:pPr>
              <w:jc w:val="center"/>
              <w:ind w:left="210"/>
              <w:spacing w:after="0"/>
              <w:rPr>
                <w:sz w:val="20"/>
                <w:szCs w:val="20"/>
                <w:color w:val="auto"/>
              </w:rPr>
            </w:pPr>
            <w:r>
              <w:rPr>
                <w:rFonts w:ascii="Calibri" w:cs="Calibri" w:eastAsia="Calibri" w:hAnsi="Calibri"/>
                <w:sz w:val="18"/>
                <w:szCs w:val="18"/>
                <w:color w:val="auto"/>
                <w:w w:val="97"/>
              </w:rPr>
              <w:t>PSU-TSR</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3,719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3,512</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2/27/2023</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FF0000"/>
              </w:rPr>
              <w:t>207</w:t>
            </w: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r>
      <w:tr>
        <w:trPr>
          <w:trHeight w:val="227"/>
        </w:trPr>
        <w:tc>
          <w:tcPr>
            <w:tcW w:w="14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7"/>
              </w:rPr>
              <w:t>2/27/2020</w:t>
            </w:r>
          </w:p>
        </w:tc>
        <w:tc>
          <w:tcPr>
            <w:tcW w:w="1140" w:type="dxa"/>
            <w:vAlign w:val="bottom"/>
            <w:tcBorders>
              <w:right w:val="single" w:sz="8" w:color="auto"/>
            </w:tcBorders>
          </w:tcPr>
          <w:p>
            <w:pPr>
              <w:jc w:val="center"/>
              <w:ind w:left="190"/>
              <w:spacing w:after="0"/>
              <w:rPr>
                <w:sz w:val="20"/>
                <w:szCs w:val="20"/>
                <w:color w:val="auto"/>
              </w:rPr>
            </w:pPr>
            <w:r>
              <w:rPr>
                <w:rFonts w:ascii="Calibri" w:cs="Calibri" w:eastAsia="Calibri" w:hAnsi="Calibri"/>
                <w:sz w:val="18"/>
                <w:szCs w:val="18"/>
                <w:color w:val="auto"/>
                <w:w w:val="99"/>
              </w:rPr>
              <w:t>PSU-ROIC</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3,719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3,512</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2/27/2023</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FF0000"/>
              </w:rPr>
              <w:t>207</w:t>
            </w: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r>
      <w:tr>
        <w:trPr>
          <w:trHeight w:val="227"/>
        </w:trPr>
        <w:tc>
          <w:tcPr>
            <w:tcW w:w="14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8"/>
              </w:rPr>
              <w:t>3/1/2021</w:t>
            </w:r>
          </w:p>
        </w:tc>
        <w:tc>
          <w:tcPr>
            <w:tcW w:w="1140" w:type="dxa"/>
            <w:vAlign w:val="bottom"/>
            <w:tcBorders>
              <w:right w:val="single" w:sz="8" w:color="auto"/>
            </w:tcBorders>
          </w:tcPr>
          <w:p>
            <w:pPr>
              <w:jc w:val="center"/>
              <w:ind w:left="210"/>
              <w:spacing w:after="0"/>
              <w:rPr>
                <w:sz w:val="20"/>
                <w:szCs w:val="20"/>
                <w:color w:val="auto"/>
              </w:rPr>
            </w:pPr>
            <w:r>
              <w:rPr>
                <w:rFonts w:ascii="Calibri" w:cs="Calibri" w:eastAsia="Calibri" w:hAnsi="Calibri"/>
                <w:sz w:val="18"/>
                <w:szCs w:val="18"/>
                <w:color w:val="auto"/>
                <w:w w:val="97"/>
              </w:rPr>
              <w:t>PSU-TSR</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2,935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1,794</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3/1/2024</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FF0000"/>
                <w:w w:val="97"/>
              </w:rPr>
              <w:t>1,141</w:t>
            </w: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r>
      <w:tr>
        <w:trPr>
          <w:trHeight w:val="227"/>
        </w:trPr>
        <w:tc>
          <w:tcPr>
            <w:tcW w:w="14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8"/>
              </w:rPr>
              <w:t>3/1/2021</w:t>
            </w:r>
          </w:p>
        </w:tc>
        <w:tc>
          <w:tcPr>
            <w:tcW w:w="1140" w:type="dxa"/>
            <w:vAlign w:val="bottom"/>
            <w:tcBorders>
              <w:right w:val="single" w:sz="8" w:color="auto"/>
            </w:tcBorders>
          </w:tcPr>
          <w:p>
            <w:pPr>
              <w:jc w:val="center"/>
              <w:ind w:left="190"/>
              <w:spacing w:after="0"/>
              <w:rPr>
                <w:sz w:val="20"/>
                <w:szCs w:val="20"/>
                <w:color w:val="auto"/>
              </w:rPr>
            </w:pPr>
            <w:r>
              <w:rPr>
                <w:rFonts w:ascii="Calibri" w:cs="Calibri" w:eastAsia="Calibri" w:hAnsi="Calibri"/>
                <w:sz w:val="18"/>
                <w:szCs w:val="18"/>
                <w:color w:val="auto"/>
                <w:w w:val="99"/>
              </w:rPr>
              <w:t>PSU-ROIC</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2,935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1,794</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3/1/2024</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FF0000"/>
                <w:w w:val="97"/>
              </w:rPr>
              <w:t>1,141</w:t>
            </w: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r>
      <w:tr>
        <w:trPr>
          <w:trHeight w:val="227"/>
        </w:trPr>
        <w:tc>
          <w:tcPr>
            <w:tcW w:w="14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8"/>
              </w:rPr>
              <w:t>3/1/2021</w:t>
            </w:r>
          </w:p>
        </w:tc>
        <w:tc>
          <w:tcPr>
            <w:tcW w:w="1140" w:type="dxa"/>
            <w:vAlign w:val="bottom"/>
            <w:tcBorders>
              <w:right w:val="single" w:sz="8" w:color="auto"/>
            </w:tcBorders>
          </w:tcPr>
          <w:p>
            <w:pPr>
              <w:jc w:val="center"/>
              <w:ind w:left="210"/>
              <w:spacing w:after="0"/>
              <w:rPr>
                <w:sz w:val="20"/>
                <w:szCs w:val="20"/>
                <w:color w:val="auto"/>
              </w:rPr>
            </w:pPr>
            <w:r>
              <w:rPr>
                <w:rFonts w:ascii="Calibri" w:cs="Calibri" w:eastAsia="Calibri" w:hAnsi="Calibri"/>
                <w:sz w:val="18"/>
                <w:szCs w:val="18"/>
                <w:color w:val="auto"/>
                <w:w w:val="95"/>
              </w:rPr>
              <w:t>PSU-ESG</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2,935</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1,076</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3/1/2026</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FF0000"/>
                <w:w w:val="97"/>
              </w:rPr>
              <w:t>1,859</w:t>
            </w: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r>
      <w:tr>
        <w:trPr>
          <w:trHeight w:val="227"/>
        </w:trPr>
        <w:tc>
          <w:tcPr>
            <w:tcW w:w="14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8"/>
              </w:rPr>
              <w:t>3/1/2022</w:t>
            </w:r>
          </w:p>
        </w:tc>
        <w:tc>
          <w:tcPr>
            <w:tcW w:w="1140" w:type="dxa"/>
            <w:vAlign w:val="bottom"/>
            <w:tcBorders>
              <w:right w:val="single" w:sz="8" w:color="auto"/>
            </w:tcBorders>
          </w:tcPr>
          <w:p>
            <w:pPr>
              <w:jc w:val="center"/>
              <w:ind w:left="210"/>
              <w:spacing w:after="0"/>
              <w:rPr>
                <w:sz w:val="20"/>
                <w:szCs w:val="20"/>
                <w:color w:val="auto"/>
              </w:rPr>
            </w:pPr>
            <w:r>
              <w:rPr>
                <w:rFonts w:ascii="Calibri" w:cs="Calibri" w:eastAsia="Calibri" w:hAnsi="Calibri"/>
                <w:sz w:val="18"/>
                <w:szCs w:val="18"/>
                <w:color w:val="auto"/>
                <w:w w:val="97"/>
              </w:rPr>
              <w:t>PSU-TSR</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3,458</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rPr>
              <w:t>961</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3/1/2025</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FF0000"/>
                <w:w w:val="97"/>
              </w:rPr>
              <w:t>2,497</w:t>
            </w: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r>
      <w:tr>
        <w:trPr>
          <w:trHeight w:val="227"/>
        </w:trPr>
        <w:tc>
          <w:tcPr>
            <w:tcW w:w="14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8"/>
              </w:rPr>
              <w:t>3/1/2022</w:t>
            </w:r>
          </w:p>
        </w:tc>
        <w:tc>
          <w:tcPr>
            <w:tcW w:w="1140" w:type="dxa"/>
            <w:vAlign w:val="bottom"/>
            <w:tcBorders>
              <w:right w:val="single" w:sz="8" w:color="auto"/>
            </w:tcBorders>
          </w:tcPr>
          <w:p>
            <w:pPr>
              <w:jc w:val="center"/>
              <w:ind w:left="190"/>
              <w:spacing w:after="0"/>
              <w:rPr>
                <w:sz w:val="20"/>
                <w:szCs w:val="20"/>
                <w:color w:val="auto"/>
              </w:rPr>
            </w:pPr>
            <w:r>
              <w:rPr>
                <w:rFonts w:ascii="Calibri" w:cs="Calibri" w:eastAsia="Calibri" w:hAnsi="Calibri"/>
                <w:sz w:val="18"/>
                <w:szCs w:val="18"/>
                <w:color w:val="auto"/>
                <w:w w:val="98"/>
              </w:rPr>
              <w:t>PSU-REVG</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1,729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rPr>
              <w:t>480</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3/1/2025</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FF0000"/>
                <w:w w:val="97"/>
              </w:rPr>
              <w:t>1,249</w:t>
            </w: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r>
      <w:tr>
        <w:trPr>
          <w:trHeight w:val="226"/>
        </w:trPr>
        <w:tc>
          <w:tcPr>
            <w:tcW w:w="1400" w:type="dxa"/>
            <w:vAlign w:val="bottom"/>
            <w:tcBorders>
              <w:left w:val="single" w:sz="8" w:color="auto"/>
              <w:right w:val="single" w:sz="8" w:color="auto"/>
            </w:tcBorders>
          </w:tcPr>
          <w:p>
            <w:pPr>
              <w:jc w:val="center"/>
              <w:spacing w:after="0"/>
              <w:rPr>
                <w:sz w:val="20"/>
                <w:szCs w:val="20"/>
                <w:color w:val="auto"/>
              </w:rPr>
            </w:pPr>
            <w:r>
              <w:rPr>
                <w:rFonts w:ascii="Calibri" w:cs="Calibri" w:eastAsia="Calibri" w:hAnsi="Calibri"/>
                <w:sz w:val="18"/>
                <w:szCs w:val="18"/>
                <w:color w:val="auto"/>
                <w:w w:val="98"/>
              </w:rPr>
              <w:t>3/1/2022</w:t>
            </w:r>
          </w:p>
        </w:tc>
        <w:tc>
          <w:tcPr>
            <w:tcW w:w="1140" w:type="dxa"/>
            <w:vAlign w:val="bottom"/>
            <w:tcBorders>
              <w:right w:val="single" w:sz="8" w:color="auto"/>
            </w:tcBorders>
          </w:tcPr>
          <w:p>
            <w:pPr>
              <w:jc w:val="center"/>
              <w:ind w:left="190"/>
              <w:spacing w:after="0"/>
              <w:rPr>
                <w:sz w:val="20"/>
                <w:szCs w:val="20"/>
                <w:color w:val="auto"/>
              </w:rPr>
            </w:pPr>
            <w:r>
              <w:rPr>
                <w:rFonts w:ascii="Calibri" w:cs="Calibri" w:eastAsia="Calibri" w:hAnsi="Calibri"/>
                <w:sz w:val="18"/>
                <w:szCs w:val="18"/>
                <w:color w:val="auto"/>
                <w:w w:val="99"/>
              </w:rPr>
              <w:t>PSU-ROIC</w:t>
            </w:r>
          </w:p>
        </w:tc>
        <w:tc>
          <w:tcPr>
            <w:tcW w:w="100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7"/>
              </w:rPr>
              <w:t>1,729</w:t>
            </w:r>
          </w:p>
        </w:tc>
        <w:tc>
          <w:tcPr>
            <w:tcW w:w="102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rPr>
              <w:t>480</w:t>
            </w:r>
          </w:p>
        </w:tc>
        <w:tc>
          <w:tcPr>
            <w:tcW w:w="120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auto"/>
                <w:w w:val="96"/>
              </w:rPr>
              <w:t>3/1/2025</w:t>
            </w:r>
          </w:p>
        </w:tc>
        <w:tc>
          <w:tcPr>
            <w:tcW w:w="1140" w:type="dxa"/>
            <w:vAlign w:val="bottom"/>
            <w:tcBorders>
              <w:right w:val="single" w:sz="8" w:color="auto"/>
            </w:tcBorders>
          </w:tcPr>
          <w:p>
            <w:pPr>
              <w:jc w:val="center"/>
              <w:spacing w:after="0"/>
              <w:rPr>
                <w:sz w:val="20"/>
                <w:szCs w:val="20"/>
                <w:color w:val="auto"/>
              </w:rPr>
            </w:pPr>
            <w:r>
              <w:rPr>
                <w:rFonts w:ascii="Calibri" w:cs="Calibri" w:eastAsia="Calibri" w:hAnsi="Calibri"/>
                <w:sz w:val="18"/>
                <w:szCs w:val="18"/>
                <w:color w:val="FF0000"/>
                <w:w w:val="97"/>
              </w:rPr>
              <w:t>1,249</w:t>
            </w: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r>
    </w:tbl>
    <w:p>
      <w:pPr>
        <w:spacing w:after="0" w:line="180" w:lineRule="exact"/>
        <w:rPr>
          <w:sz w:val="20"/>
          <w:szCs w:val="20"/>
          <w:color w:val="auto"/>
        </w:rPr>
      </w:pPr>
    </w:p>
    <w:p>
      <w:pPr>
        <w:jc w:val="both"/>
        <w:spacing w:after="0" w:line="213" w:lineRule="auto"/>
        <w:rPr>
          <w:sz w:val="20"/>
          <w:szCs w:val="20"/>
          <w:color w:val="auto"/>
        </w:rPr>
      </w:pPr>
      <w:r>
        <w:rPr>
          <w:rFonts w:ascii="Calibri" w:cs="Calibri" w:eastAsia="Calibri" w:hAnsi="Calibri"/>
          <w:sz w:val="18"/>
          <w:szCs w:val="18"/>
          <w:color w:val="auto"/>
        </w:rPr>
        <w:t>The informaton above is a summary of the treatment of Employee's long-term incentve grants upon terminaton on the Terminaton Date. If there is a confict between this summary and the applicable plan documents and grant agreements, the plan documents and grant agreements will govern.</w:t>
      </w:r>
    </w:p>
    <w:p>
      <w:pPr>
        <w:spacing w:after="0" w:line="69" w:lineRule="exact"/>
        <w:rPr>
          <w:sz w:val="20"/>
          <w:szCs w:val="20"/>
          <w:color w:val="auto"/>
        </w:rPr>
      </w:pPr>
    </w:p>
    <w:p>
      <w:pPr>
        <w:jc w:val="both"/>
        <w:spacing w:after="0" w:line="206" w:lineRule="auto"/>
        <w:rPr>
          <w:sz w:val="20"/>
          <w:szCs w:val="20"/>
          <w:color w:val="auto"/>
        </w:rPr>
      </w:pPr>
      <w:r>
        <w:rPr>
          <w:rFonts w:ascii="Calibri" w:cs="Calibri" w:eastAsia="Calibri" w:hAnsi="Calibri"/>
          <w:sz w:val="18"/>
          <w:szCs w:val="18"/>
          <w:color w:val="auto"/>
        </w:rPr>
        <w:t>As an insider of Xylem, you are subject to the Xylem's Trading Windows through your Terminaton Date. Xylem's trading window is antcipated to re-open on May 6th. Afer your Terminaton Date, you will no longer be subject to Xylem's Trading Windows. However, please note that per the Company’s Insider Trading policy (Policy 40-04) and Securites and Exchange Commission regulatons you are not permited to trade any securites at any tme, including afer your Terminaton Date, on the basis of material, non-public informaton.</w:t>
      </w:r>
    </w:p>
    <w:p>
      <w:pPr>
        <w:sectPr>
          <w:pgSz w:w="11900" w:h="16838" w:orient="portrait"/>
          <w:cols w:equalWidth="0" w:num="1">
            <w:col w:w="11000"/>
          </w:cols>
          <w:pgMar w:left="460" w:top="1381" w:right="4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Patrick K. Decker, certify that:</w:t>
      </w:r>
    </w:p>
    <w:p>
      <w:pPr>
        <w:spacing w:after="0" w:line="117"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June 30, 2022;</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40" w:type="dxa"/>
            <w:vAlign w:val="bottom"/>
          </w:tcPr>
          <w:p>
            <w:pPr>
              <w:spacing w:after="0"/>
              <w:rPr>
                <w:sz w:val="20"/>
                <w:szCs w:val="20"/>
                <w:color w:val="auto"/>
              </w:rPr>
            </w:pP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Patrick K. Decker</w:t>
            </w:r>
          </w:p>
        </w:tc>
        <w:tc>
          <w:tcPr>
            <w:tcW w:w="0" w:type="dxa"/>
            <w:vAlign w:val="bottom"/>
          </w:tcPr>
          <w:p>
            <w:pPr>
              <w:spacing w:after="0"/>
              <w:rPr>
                <w:sz w:val="1"/>
                <w:szCs w:val="1"/>
                <w:color w:val="auto"/>
              </w:rPr>
            </w:pPr>
          </w:p>
        </w:tc>
      </w:tr>
      <w:tr>
        <w:trPr>
          <w:trHeight w:val="177"/>
        </w:trPr>
        <w:tc>
          <w:tcPr>
            <w:tcW w:w="6440" w:type="dxa"/>
            <w:vAlign w:val="bottom"/>
          </w:tcPr>
          <w:p>
            <w:pPr>
              <w:spacing w:after="0"/>
              <w:rPr>
                <w:sz w:val="15"/>
                <w:szCs w:val="15"/>
                <w:color w:val="auto"/>
              </w:rPr>
            </w:pPr>
          </w:p>
        </w:tc>
        <w:tc>
          <w:tcPr>
            <w:tcW w:w="4080" w:type="dxa"/>
            <w:vAlign w:val="bottom"/>
          </w:tcPr>
          <w:p>
            <w:pPr>
              <w:ind w:left="20"/>
              <w:spacing w:after="0" w:line="177" w:lineRule="exact"/>
              <w:rPr>
                <w:sz w:val="20"/>
                <w:szCs w:val="20"/>
                <w:color w:val="auto"/>
              </w:rPr>
            </w:pPr>
            <w:r>
              <w:rPr>
                <w:rFonts w:ascii="Arial" w:cs="Arial" w:eastAsia="Arial" w:hAnsi="Arial"/>
                <w:sz w:val="18"/>
                <w:szCs w:val="18"/>
                <w:color w:val="auto"/>
              </w:rPr>
              <w:t>Patrick K. Decker</w:t>
            </w:r>
          </w:p>
        </w:tc>
        <w:tc>
          <w:tcPr>
            <w:tcW w:w="0" w:type="dxa"/>
            <w:vAlign w:val="bottom"/>
          </w:tcPr>
          <w:p>
            <w:pPr>
              <w:spacing w:after="0"/>
              <w:rPr>
                <w:sz w:val="1"/>
                <w:szCs w:val="1"/>
                <w:color w:val="auto"/>
              </w:rPr>
            </w:pPr>
          </w:p>
        </w:tc>
      </w:tr>
      <w:tr>
        <w:trPr>
          <w:trHeight w:val="239"/>
        </w:trPr>
        <w:tc>
          <w:tcPr>
            <w:tcW w:w="6440" w:type="dxa"/>
            <w:vAlign w:val="bottom"/>
            <w:vMerge w:val="restart"/>
          </w:tcPr>
          <w:p>
            <w:pPr>
              <w:spacing w:after="0"/>
              <w:rPr>
                <w:sz w:val="20"/>
                <w:szCs w:val="20"/>
                <w:color w:val="auto"/>
              </w:rPr>
            </w:pPr>
            <w:r>
              <w:rPr>
                <w:rFonts w:ascii="Arial" w:cs="Arial" w:eastAsia="Arial" w:hAnsi="Arial"/>
                <w:sz w:val="18"/>
                <w:szCs w:val="18"/>
                <w:color w:val="auto"/>
              </w:rPr>
              <w:t>Date: August 2, 2022</w:t>
            </w:r>
          </w:p>
        </w:tc>
        <w:tc>
          <w:tcPr>
            <w:tcW w:w="40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108"/>
        </w:trPr>
        <w:tc>
          <w:tcPr>
            <w:tcW w:w="6440" w:type="dxa"/>
            <w:vAlign w:val="bottom"/>
            <w:vMerge w:val="continue"/>
          </w:tcPr>
          <w:p>
            <w:pPr>
              <w:spacing w:after="0"/>
              <w:rPr>
                <w:sz w:val="9"/>
                <w:szCs w:val="9"/>
                <w:color w:val="auto"/>
              </w:rPr>
            </w:pPr>
          </w:p>
        </w:tc>
        <w:tc>
          <w:tcPr>
            <w:tcW w:w="4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Sandra E. Rowland, certify that:</w:t>
      </w:r>
    </w:p>
    <w:p>
      <w:pPr>
        <w:spacing w:after="0" w:line="117"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June 30, 2022;</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40" w:type="dxa"/>
            <w:vAlign w:val="bottom"/>
          </w:tcPr>
          <w:p>
            <w:pPr>
              <w:spacing w:after="0"/>
              <w:rPr>
                <w:sz w:val="20"/>
                <w:szCs w:val="20"/>
                <w:color w:val="auto"/>
              </w:rPr>
            </w:pP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Sandra E. Rowland</w:t>
            </w:r>
          </w:p>
        </w:tc>
        <w:tc>
          <w:tcPr>
            <w:tcW w:w="0" w:type="dxa"/>
            <w:vAlign w:val="bottom"/>
          </w:tcPr>
          <w:p>
            <w:pPr>
              <w:spacing w:after="0"/>
              <w:rPr>
                <w:sz w:val="1"/>
                <w:szCs w:val="1"/>
                <w:color w:val="auto"/>
              </w:rPr>
            </w:pPr>
          </w:p>
        </w:tc>
      </w:tr>
      <w:tr>
        <w:trPr>
          <w:trHeight w:val="177"/>
        </w:trPr>
        <w:tc>
          <w:tcPr>
            <w:tcW w:w="6440" w:type="dxa"/>
            <w:vAlign w:val="bottom"/>
          </w:tcPr>
          <w:p>
            <w:pPr>
              <w:spacing w:after="0"/>
              <w:rPr>
                <w:sz w:val="15"/>
                <w:szCs w:val="15"/>
                <w:color w:val="auto"/>
              </w:rPr>
            </w:pPr>
          </w:p>
        </w:tc>
        <w:tc>
          <w:tcPr>
            <w:tcW w:w="4080" w:type="dxa"/>
            <w:vAlign w:val="bottom"/>
          </w:tcPr>
          <w:p>
            <w:pPr>
              <w:ind w:left="20"/>
              <w:spacing w:after="0" w:line="177" w:lineRule="exact"/>
              <w:rPr>
                <w:sz w:val="20"/>
                <w:szCs w:val="20"/>
                <w:color w:val="auto"/>
              </w:rPr>
            </w:pPr>
            <w:r>
              <w:rPr>
                <w:rFonts w:ascii="Arial" w:cs="Arial" w:eastAsia="Arial" w:hAnsi="Arial"/>
                <w:sz w:val="18"/>
                <w:szCs w:val="18"/>
                <w:color w:val="auto"/>
              </w:rPr>
              <w:t>Sandra E. Rowland</w:t>
            </w:r>
          </w:p>
        </w:tc>
        <w:tc>
          <w:tcPr>
            <w:tcW w:w="0" w:type="dxa"/>
            <w:vAlign w:val="bottom"/>
          </w:tcPr>
          <w:p>
            <w:pPr>
              <w:spacing w:after="0"/>
              <w:rPr>
                <w:sz w:val="1"/>
                <w:szCs w:val="1"/>
                <w:color w:val="auto"/>
              </w:rPr>
            </w:pPr>
          </w:p>
        </w:tc>
      </w:tr>
      <w:tr>
        <w:trPr>
          <w:trHeight w:val="239"/>
        </w:trPr>
        <w:tc>
          <w:tcPr>
            <w:tcW w:w="6440" w:type="dxa"/>
            <w:vAlign w:val="bottom"/>
            <w:vMerge w:val="restart"/>
          </w:tcPr>
          <w:p>
            <w:pPr>
              <w:spacing w:after="0"/>
              <w:rPr>
                <w:sz w:val="20"/>
                <w:szCs w:val="20"/>
                <w:color w:val="auto"/>
              </w:rPr>
            </w:pPr>
            <w:r>
              <w:rPr>
                <w:rFonts w:ascii="Arial" w:cs="Arial" w:eastAsia="Arial" w:hAnsi="Arial"/>
                <w:sz w:val="18"/>
                <w:szCs w:val="18"/>
                <w:color w:val="auto"/>
              </w:rPr>
              <w:t>Date: August 2, 2022</w:t>
            </w:r>
          </w:p>
        </w:tc>
        <w:tc>
          <w:tcPr>
            <w:tcW w:w="408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108"/>
        </w:trPr>
        <w:tc>
          <w:tcPr>
            <w:tcW w:w="6440" w:type="dxa"/>
            <w:vAlign w:val="bottom"/>
            <w:vMerge w:val="continue"/>
          </w:tcPr>
          <w:p>
            <w:pPr>
              <w:spacing w:after="0"/>
              <w:rPr>
                <w:sz w:val="9"/>
                <w:szCs w:val="9"/>
                <w:color w:val="auto"/>
              </w:rPr>
            </w:pPr>
          </w:p>
        </w:tc>
        <w:tc>
          <w:tcPr>
            <w:tcW w:w="4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9" w:lineRule="exact"/>
        <w:rPr>
          <w:sz w:val="20"/>
          <w:szCs w:val="20"/>
          <w:color w:val="auto"/>
        </w:rPr>
      </w:pPr>
    </w:p>
    <w:p>
      <w:pPr>
        <w:jc w:val="both"/>
        <w:ind w:right="340"/>
        <w:spacing w:after="0" w:line="291" w:lineRule="auto"/>
        <w:rPr>
          <w:sz w:val="20"/>
          <w:szCs w:val="20"/>
          <w:color w:val="auto"/>
        </w:rPr>
      </w:pPr>
      <w:r>
        <w:rPr>
          <w:rFonts w:ascii="Arial" w:cs="Arial" w:eastAsia="Arial" w:hAnsi="Arial"/>
          <w:sz w:val="17"/>
          <w:szCs w:val="17"/>
          <w:color w:val="auto"/>
        </w:rPr>
        <w:t>In connection with the Quarterly Report on Form 10-Q of Xylem Inc. (the “Company”) for the period ended June 30, 2022 as filed with the Securities and Exchange Commission on the date hereof (the “Report”), I, Patrick K. Decker, President and Chief Executive Officer of the Company, certify, pursuant to 18 U.S.C. 1350, as adopted pursuant to 906 of the Sarbanes-Oxley Act of 2002, to my knowledge, that:</w:t>
      </w:r>
    </w:p>
    <w:p>
      <w:pPr>
        <w:spacing w:after="0" w:line="45"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Patrick K.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31203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K. Decker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2, 2022</w:t>
      </w:r>
    </w:p>
    <w:p>
      <w:pPr>
        <w:spacing w:after="0" w:line="18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 connection with the Quarterly Report on Form 10-Q of Xylem Inc. (the “Company”) for the period ended June 30, 2022 as filed with the Securities and Exchange Commission on the date hereof (the “Report”), I, Sandra E. Rowland, Senior Vice President and Chief Financial Officer of the Company, certify, pursuant to 18 U.S.C. 1350, as adopted pursuant to 906 of the Sarbanes-Oxley Act of 2002, to my knowledge, that:</w:t>
      </w:r>
    </w:p>
    <w:p>
      <w:pPr>
        <w:spacing w:after="0" w:line="68"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Sandra E.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31203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Sandra E. Rowland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2, 2022</w:t>
      </w:r>
    </w:p>
    <w:p>
      <w:pPr>
        <w:spacing w:after="0" w:line="18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lowerLetter"/>
      <w:start w:val="1"/>
    </w:lvl>
  </w:abstractNum>
  <w:abstractNum w:abstractNumId="3">
    <w:nsid w:val="4353D0CD"/>
    <w:multiLevelType w:val="hybridMultilevel"/>
    <w:lvl w:ilvl="0">
      <w:lvlJc w:val="left"/>
      <w:lvlText w:val="(%1)"/>
      <w:numFmt w:val="lowerLetter"/>
      <w:start w:val="1"/>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1)"/>
      <w:numFmt w:val="lowerLetter"/>
      <w:start w:val="1"/>
    </w:lvl>
  </w:abstractNum>
  <w:abstractNum w:abstractNumId="6">
    <w:nsid w:val="54E49EB4"/>
    <w:multiLevelType w:val="hybridMultilevel"/>
    <w:lvl w:ilvl="0">
      <w:lvlJc w:val="left"/>
      <w:lvlText w:val="(%1)"/>
      <w:numFmt w:val="lowerLetter"/>
      <w:start w:val="1"/>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lowerLetter"/>
      <w:start w:val="1"/>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2"/>
    </w:lvl>
  </w:abstractNum>
  <w:abstractNum w:abstractNumId="22">
    <w:nsid w:val="5577F8E1"/>
    <w:multiLevelType w:val="hybridMultilevel"/>
    <w:lvl w:ilvl="0">
      <w:lvlJc w:val="left"/>
      <w:lvlText w:val="%1."/>
      <w:numFmt w:val="decimal"/>
      <w:start w:val="3"/>
    </w:lvl>
  </w:abstractNum>
  <w:abstractNum w:abstractNumId="23">
    <w:nsid w:val="440BADFC"/>
    <w:multiLevelType w:val="hybridMultilevel"/>
    <w:lvl w:ilvl="0">
      <w:lvlJc w:val="left"/>
      <w:lvlText w:val="%1."/>
      <w:numFmt w:val="decimal"/>
      <w:start w:val="4"/>
    </w:lvl>
  </w:abstractNum>
  <w:abstractNum w:abstractNumId="24">
    <w:nsid w:val="5072367"/>
    <w:multiLevelType w:val="hybridMultilevel"/>
    <w:lvl w:ilvl="0">
      <w:lvlJc w:val="left"/>
      <w:lvlText w:val="(%1)"/>
      <w:numFmt w:val="lowerRoman"/>
      <w:start w:val="1"/>
    </w:lvl>
  </w:abstractNum>
  <w:abstractNum w:abstractNumId="25">
    <w:nsid w:val="3804823E"/>
    <w:multiLevelType w:val="hybridMultilevel"/>
    <w:lvl w:ilvl="0">
      <w:lvlJc w:val="left"/>
      <w:lvlText w:val="(%1)"/>
      <w:numFmt w:val="lowerRoman"/>
      <w:start w:val="4"/>
    </w:lvl>
  </w:abstractNum>
  <w:abstractNum w:abstractNumId="26">
    <w:nsid w:val="77465F01"/>
    <w:multiLevelType w:val="hybridMultilevel"/>
    <w:lvl w:ilvl="0">
      <w:lvlJc w:val="left"/>
      <w:lvlText w:val="%1."/>
      <w:numFmt w:val="decimal"/>
      <w:start w:val="5"/>
    </w:lvl>
  </w:abstractNum>
  <w:abstractNum w:abstractNumId="27">
    <w:nsid w:val="7724C67E"/>
    <w:multiLevelType w:val="hybridMultilevel"/>
    <w:lvl w:ilvl="0">
      <w:lvlJc w:val="left"/>
      <w:lvlText w:val="%1."/>
      <w:numFmt w:val="decimal"/>
      <w:start w:val="6"/>
    </w:lvl>
  </w:abstractNum>
  <w:abstractNum w:abstractNumId="28">
    <w:nsid w:val="5C482A97"/>
    <w:multiLevelType w:val="hybridMultilevel"/>
    <w:lvl w:ilvl="0">
      <w:lvlJc w:val="left"/>
      <w:lvlText w:val="%1."/>
      <w:numFmt w:val="lowerRoman"/>
      <w:start w:val="1"/>
    </w:lvl>
  </w:abstractNum>
  <w:abstractNum w:abstractNumId="29">
    <w:nsid w:val="2463B9EA"/>
    <w:multiLevelType w:val="hybridMultilevel"/>
    <w:lvl w:ilvl="0">
      <w:lvlJc w:val="left"/>
      <w:lvlText w:val="%1."/>
      <w:numFmt w:val="decimal"/>
      <w:start w:val="7"/>
    </w:lvl>
  </w:abstractNum>
  <w:abstractNum w:abstractNumId="30">
    <w:nsid w:val="5E884ADC"/>
    <w:multiLevelType w:val="hybridMultilevel"/>
    <w:lvl w:ilvl="0">
      <w:lvlJc w:val="left"/>
      <w:lvlText w:val="%1."/>
      <w:numFmt w:val="decimal"/>
      <w:start w:val="8"/>
    </w:lvl>
    <w:lvl w:ilvl="1">
      <w:lvlJc w:val="left"/>
      <w:lvlText w:val="%2."/>
      <w:numFmt w:val="lowerRoman"/>
      <w:start w:val="1"/>
    </w:lvl>
  </w:abstractNum>
  <w:abstractNum w:abstractNumId="31">
    <w:nsid w:val="51EAD36B"/>
    <w:multiLevelType w:val="hybridMultilevel"/>
    <w:lvl w:ilvl="0">
      <w:lvlJc w:val="left"/>
      <w:lvlText w:val="%1."/>
      <w:numFmt w:val="lowerRoman"/>
      <w:start w:val="3"/>
    </w:lvl>
  </w:abstractNum>
  <w:abstractNum w:abstractNumId="32">
    <w:nsid w:val="2D517796"/>
    <w:multiLevelType w:val="hybridMultilevel"/>
    <w:lvl w:ilvl="0">
      <w:lvlJc w:val="left"/>
      <w:lvlText w:val="%1."/>
      <w:numFmt w:val="decimal"/>
      <w:start w:val="9"/>
    </w:lvl>
  </w:abstractNum>
  <w:abstractNum w:abstractNumId="33">
    <w:nsid w:val="580BD78F"/>
    <w:multiLevelType w:val="hybridMultilevel"/>
    <w:lvl w:ilvl="0">
      <w:lvlJc w:val="left"/>
      <w:lvlText w:val="(%1)"/>
      <w:numFmt w:val="lowerRoman"/>
      <w:start w:val="1"/>
    </w:lvl>
  </w:abstractNum>
  <w:abstractNum w:abstractNumId="34">
    <w:nsid w:val="153EA438"/>
    <w:multiLevelType w:val="hybridMultilevel"/>
    <w:lvl w:ilvl="0">
      <w:lvlJc w:val="left"/>
      <w:lvlText w:val="(%1)"/>
      <w:numFmt w:val="lowerRoman"/>
      <w:start w:val="4"/>
    </w:lvl>
  </w:abstractNum>
  <w:abstractNum w:abstractNumId="35">
    <w:nsid w:val="3855585C"/>
    <w:multiLevelType w:val="hybridMultilevel"/>
    <w:lvl w:ilvl="0">
      <w:lvlJc w:val="left"/>
      <w:lvlText w:val="(%1)"/>
      <w:numFmt w:val="lowerRoman"/>
      <w:start w:val="1"/>
    </w:lvl>
  </w:abstractNum>
  <w:abstractNum w:abstractNumId="36">
    <w:nsid w:val="70A64E2A"/>
    <w:multiLevelType w:val="hybridMultilevel"/>
    <w:lvl w:ilvl="0">
      <w:lvlJc w:val="left"/>
      <w:lvlText w:val="%1."/>
      <w:numFmt w:val="upperLetter"/>
      <w:start w:val="1"/>
    </w:lvl>
    <w:lvl w:ilvl="1">
      <w:lvlJc w:val="left"/>
      <w:lvlText w:val="(%2)"/>
      <w:numFmt w:val="lowerRoman"/>
      <w:start w:val="1"/>
    </w:lvl>
  </w:abstractNum>
  <w:abstractNum w:abstractNumId="37">
    <w:nsid w:val="6A2342EC"/>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2"/>
    </w:lvl>
  </w:abstractNum>
  <w:abstractNum w:abstractNumId="38">
    <w:nsid w:val="2A487CB0"/>
    <w:multiLevelType w:val="hybridMultilevel"/>
    <w:lvl w:ilvl="0">
      <w:lvlJc w:val="left"/>
      <w:lvlText w:val="%1."/>
      <w:numFmt w:val="upperLetter"/>
      <w:start w:val="3"/>
    </w:lvl>
    <w:lvl w:ilvl="1">
      <w:lvlJc w:val="left"/>
      <w:lvlText w:val="%2."/>
      <w:numFmt w:val="upperLetter"/>
      <w:start w:val="3"/>
    </w:lvl>
    <w:lvl w:ilvl="2">
      <w:lvlJc w:val="left"/>
      <w:lvlText w:val="(%3)"/>
      <w:numFmt w:val="lowerRoman"/>
      <w:start w:val="1"/>
    </w:lvl>
  </w:abstractNum>
  <w:abstractNum w:abstractNumId="39">
    <w:nsid w:val="1D4ED43B"/>
    <w:multiLevelType w:val="hybridMultilevel"/>
    <w:lvl w:ilvl="0">
      <w:lvlJc w:val="left"/>
      <w:lvlText w:val="(%1)"/>
      <w:numFmt w:val="lowerRoman"/>
      <w:start w:val="1"/>
    </w:lvl>
  </w:abstractNum>
  <w:abstractNum w:abstractNumId="40">
    <w:nsid w:val="725A06FB"/>
    <w:multiLevelType w:val="hybridMultilevel"/>
    <w:lvl w:ilvl="0">
      <w:lvlJc w:val="left"/>
      <w:lvlText w:val="%1."/>
      <w:numFmt w:val="decimal"/>
      <w:start w:val="1"/>
    </w:lvl>
    <w:lvl w:ilvl="1">
      <w:lvlJc w:val="left"/>
      <w:lvlText w:val="%2)"/>
      <w:numFmt w:val="lowerLetter"/>
      <w:start w:val="1"/>
    </w:lvl>
  </w:abstractNum>
  <w:abstractNum w:abstractNumId="41">
    <w:nsid w:val="2CD89A32"/>
    <w:multiLevelType w:val="hybridMultilevel"/>
    <w:lvl w:ilvl="0">
      <w:lvlJc w:val="left"/>
      <w:lvlText w:val="%1."/>
      <w:numFmt w:val="decimal"/>
      <w:start w:val="3"/>
    </w:lvl>
    <w:lvl w:ilvl="1">
      <w:lvlJc w:val="left"/>
      <w:lvlText w:val="%2)"/>
      <w:numFmt w:val="lowerLetter"/>
      <w:start w:val="6"/>
    </w:lvl>
  </w:abstractNum>
  <w:abstractNum w:abstractNumId="42">
    <w:nsid w:val="57E4CCAF"/>
    <w:multiLevelType w:val="hybridMultilevel"/>
    <w:lvl w:ilvl="0">
      <w:lvlJc w:val="left"/>
      <w:lvlText w:val="%1."/>
      <w:numFmt w:val="decimal"/>
      <w:start w:val="7"/>
    </w:lvl>
    <w:lvl w:ilvl="1">
      <w:lvlJc w:val="left"/>
      <w:lvlText w:val="(%2)"/>
      <w:numFmt w:val="lowerRoman"/>
      <w:start w:val="3"/>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jpe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jpeg"/><Relationship Id="rId81" Type="http://schemas.openxmlformats.org/officeDocument/2006/relationships/image" Target="media/image72.png"/><Relationship Id="rId82" Type="http://schemas.openxmlformats.org/officeDocument/2006/relationships/image" Target="media/image73.png"/><Relationship Id="rId73" Type="http://schemas.openxmlformats.org/officeDocument/2006/relationships/hyperlink" Target="http://www.sec.gov/Archives/edgar/data/1524472/000152447217000027/a8-k31xcharter.htm" TargetMode="External"/><Relationship Id="rId74" Type="http://schemas.openxmlformats.org/officeDocument/2006/relationships/hyperlink" Target="http://www.sec.gov/Archives/edgar/data/1524472/000152447217000027/a8-k32xbyx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2022-08-02T10:59:04Z</dcterms:created>
  <dcterms:modified xsi:type="dcterms:W3CDTF">2022-08-02T10:59:04Z</dcterms:modified>
</cp:coreProperties>
</file>