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 w:lineRule="exact"/>
        <w:rPr>
          <w:sz w:val="24"/>
          <w:szCs w:val="24"/>
          <w:color w:val="auto"/>
        </w:rPr>
      </w:pPr>
    </w:p>
    <w:p>
      <w:pPr>
        <w:ind w:left="3460" w:right="800" w:hanging="3434"/>
        <w:spacing w:after="0" w:line="412" w:lineRule="auto"/>
        <w:tabs>
          <w:tab w:leader="none" w:pos="1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282" w:right="339" w:bottom="1440" w:gutter="0" w:footer="0" w:header="0"/>
        </w:sectPr>
      </w:pPr>
    </w:p>
    <w:p>
      <w:pPr>
        <w:spacing w:after="0" w:line="129"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11240"/>
          </w:cols>
          <w:pgMar w:left="320" w:top="1282" w:right="339" w:bottom="1440" w:gutter="0" w:footer="0" w:header="0"/>
          <w:type w:val="continuous"/>
        </w:sectPr>
      </w:pP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1-35229</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282" w:right="339" w:bottom="1440" w:gutter="0" w:footer="0" w:header="0"/>
          <w:type w:val="continuous"/>
        </w:sectPr>
      </w:pPr>
    </w:p>
    <w:p>
      <w:pPr>
        <w:spacing w:after="0" w:line="228"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6" w:lineRule="exact"/>
        <w:rPr>
          <w:sz w:val="24"/>
          <w:szCs w:val="24"/>
          <w:color w:val="auto"/>
        </w:rPr>
      </w:pPr>
    </w:p>
    <w:p>
      <w:pPr>
        <w:sectPr>
          <w:pgSz w:w="11900" w:h="16838" w:orient="portrait"/>
          <w:cols w:equalWidth="0" w:num="2">
            <w:col w:w="7360" w:space="720"/>
            <w:col w:w="3160"/>
          </w:cols>
          <w:pgMar w:left="320" w:top="1282"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298" w:lineRule="exact"/>
        <w:rPr>
          <w:sz w:val="24"/>
          <w:szCs w:val="24"/>
          <w:color w:val="auto"/>
        </w:rPr>
      </w:pPr>
    </w:p>
    <w:p>
      <w:pPr>
        <w:sectPr>
          <w:pgSz w:w="11900" w:h="16838" w:orient="portrait"/>
          <w:cols w:equalWidth="0" w:num="2">
            <w:col w:w="6740" w:space="720"/>
            <w:col w:w="3780"/>
          </w:cols>
          <w:pgMar w:left="320" w:top="1282"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International Drive, Rye Brook, NY 10573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323-5700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8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378"/>
        </w:trPr>
        <w:tc>
          <w:tcPr>
            <w:tcW w:w="1360" w:type="dxa"/>
            <w:vAlign w:val="bottom"/>
          </w:tcPr>
          <w:p>
            <w:pPr>
              <w:spacing w:after="0"/>
              <w:rPr>
                <w:sz w:val="24"/>
                <w:szCs w:val="24"/>
                <w:color w:val="auto"/>
              </w:rPr>
            </w:pPr>
          </w:p>
        </w:tc>
        <w:tc>
          <w:tcPr>
            <w:tcW w:w="344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99"/>
              </w:rPr>
              <w:t>Title of each class</w:t>
            </w:r>
          </w:p>
        </w:tc>
        <w:tc>
          <w:tcPr>
            <w:tcW w:w="24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9"/>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0"/>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Common Stock, par value $0.01 per share</w:t>
            </w:r>
          </w:p>
        </w:tc>
        <w:tc>
          <w:tcPr>
            <w:tcW w:w="242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30"/>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2.250% Senior Notes due 2023</w:t>
            </w:r>
          </w:p>
        </w:tc>
        <w:tc>
          <w:tcPr>
            <w:tcW w:w="242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XYL23</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75"/>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35"/>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0"/>
          <w:szCs w:val="20"/>
          <w:color w:val="auto"/>
        </w:rPr>
      </w:pPr>
    </w:p>
    <w:p>
      <w:pPr>
        <w:ind w:right="54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23, 2020, there were 180,231,989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69215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40"/>
          </w:cols>
          <w:pgMar w:left="320" w:top="625"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5"/>
          </w:tcPr>
          <w:p>
            <w:pPr>
              <w:jc w:val="center"/>
              <w:ind w:right="2540"/>
              <w:spacing w:after="0"/>
              <w:rPr>
                <w:sz w:val="20"/>
                <w:szCs w:val="20"/>
                <w:color w:val="auto"/>
              </w:rPr>
            </w:pPr>
            <w:r>
              <w:rPr>
                <w:rFonts w:ascii="Arial" w:cs="Arial" w:eastAsia="Arial" w:hAnsi="Arial"/>
                <w:sz w:val="18"/>
                <w:szCs w:val="18"/>
                <w:b w:val="1"/>
                <w:bCs w:val="1"/>
                <w:color w:val="auto"/>
                <w:w w:val="98"/>
              </w:rPr>
              <w:t>Xylem Inc.</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gridSpan w:val="5"/>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00" w:type="dxa"/>
            <w:vAlign w:val="bottom"/>
            <w:gridSpan w:val="9"/>
          </w:tcPr>
          <w:p>
            <w:pPr>
              <w:jc w:val="center"/>
              <w:ind w:right="2780"/>
              <w:spacing w:after="0"/>
              <w:rPr>
                <w:sz w:val="20"/>
                <w:szCs w:val="20"/>
                <w:color w:val="auto"/>
              </w:rPr>
            </w:pPr>
            <w:r>
              <w:rPr>
                <w:rFonts w:ascii="Arial" w:cs="Arial" w:eastAsia="Arial" w:hAnsi="Arial"/>
                <w:sz w:val="18"/>
                <w:szCs w:val="18"/>
                <w:b w:val="1"/>
                <w:bCs w:val="1"/>
                <w:color w:val="auto"/>
                <w:w w:val="99"/>
              </w:rPr>
              <w:t>PART I – Financial Information</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20"/>
              <w:spacing w:after="0" w:line="180"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80"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2"/>
          </w:tcPr>
          <w:p>
            <w:pPr>
              <w:spacing w:after="0" w:line="180"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Financial Statements:</w:t>
              </w:r>
            </w:hyperlink>
          </w:p>
        </w:tc>
        <w:tc>
          <w:tcPr>
            <w:tcW w:w="5700" w:type="dxa"/>
            <w:vAlign w:val="bottom"/>
            <w:gridSpan w:val="8"/>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4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Income Statements for the Three and Nine Months Ended</w:t>
              </w:r>
            </w:hyperlink>
          </w:p>
        </w:tc>
        <w:tc>
          <w:tcPr>
            <w:tcW w:w="188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September 30, 2020 and 2019 (Unaudited)</w:t>
              </w:r>
            </w:hyperlink>
          </w:p>
        </w:tc>
        <w:tc>
          <w:tcPr>
            <w:tcW w:w="32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4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for the Three and Nine</w:t>
              </w:r>
            </w:hyperlink>
          </w:p>
        </w:tc>
        <w:tc>
          <w:tcPr>
            <w:tcW w:w="188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0" w:type="dxa"/>
            <w:vAlign w:val="bottom"/>
            <w:tcBorders>
              <w:top w:val="single" w:sz="8" w:color="0000FF"/>
            </w:tcBorders>
            <w:gridSpan w:val="8"/>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Months Ended September 30, 2020 and 2019 (Unaudited) and 2019 (Unaudited)</w:t>
              </w:r>
            </w:hyperlink>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40" w:type="dxa"/>
            <w:vAlign w:val="bottom"/>
            <w:tcBorders>
              <w:bottom w:val="single" w:sz="8" w:color="0000FF"/>
            </w:tcBorders>
            <w:gridSpan w:val="10"/>
          </w:tcPr>
          <w:p>
            <w:pPr>
              <w:spacing w:after="0" w:line="17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Balance Sheets as of September 30, 2020 and December 31, 2019</w:t>
              </w:r>
            </w:hyperlink>
          </w:p>
        </w:tc>
        <w:tc>
          <w:tcPr>
            <w:tcW w:w="1880" w:type="dxa"/>
            <w:vAlign w:val="bottom"/>
            <w:vMerge w:val="restart"/>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40" w:type="dxa"/>
            <w:vAlign w:val="bottom"/>
            <w:gridSpan w:val="10"/>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40" w:type="dxa"/>
            <w:vAlign w:val="bottom"/>
            <w:gridSpan w:val="1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Nine Months Ended September</w:t>
              </w:r>
            </w:hyperlink>
          </w:p>
        </w:tc>
        <w:tc>
          <w:tcPr>
            <w:tcW w:w="1880" w:type="dxa"/>
            <w:vAlign w:val="bottom"/>
            <w:vMerge w:val="restart"/>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3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30, 2020 and 2019 (Unaudited)</w:t>
              </w:r>
            </w:hyperlink>
          </w:p>
        </w:tc>
        <w:tc>
          <w:tcPr>
            <w:tcW w:w="14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40" w:type="dxa"/>
            <w:vAlign w:val="bottom"/>
            <w:gridSpan w:val="10"/>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the Condensed Consolidated Financial Statements (Unaudited)</w:t>
              </w:r>
            </w:hyperlink>
          </w:p>
        </w:tc>
        <w:tc>
          <w:tcPr>
            <w:tcW w:w="18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1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FF"/>
                </w:rPr>
                <w:t>Management’s Discussion and Analysis of Financial Condition and Results of Operations</w:t>
              </w:r>
            </w:hyperlink>
          </w:p>
        </w:tc>
        <w:tc>
          <w:tcPr>
            <w:tcW w:w="188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1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3">
              <w:r>
                <w:rPr>
                  <w:rFonts w:ascii="Arial" w:cs="Arial" w:eastAsia="Arial" w:hAnsi="Arial"/>
                  <w:sz w:val="18"/>
                  <w:szCs w:val="18"/>
                  <w:u w:val="single" w:color="auto"/>
                  <w:color w:val="0000FF"/>
                </w:rPr>
                <w:t>Quantitative and Qualitative Disclosures About Market Risk</w:t>
              </w:r>
            </w:hyperlink>
          </w:p>
        </w:tc>
        <w:tc>
          <w:tcPr>
            <w:tcW w:w="188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20"/>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7440" w:type="dxa"/>
            <w:vAlign w:val="bottom"/>
            <w:gridSpan w:val="10"/>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Controls and Procedures</w:t>
              </w:r>
            </w:hyperlink>
          </w:p>
        </w:tc>
        <w:tc>
          <w:tcPr>
            <w:tcW w:w="188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53</w:t>
              </w:r>
            </w:hyperlink>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0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99"/>
              </w:rPr>
              <w:t>PART II – Other Information</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7440" w:type="dxa"/>
            <w:vAlign w:val="bottom"/>
            <w:gridSpan w:val="10"/>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Legal Proceedings</w:t>
              </w:r>
            </w:hyperlink>
          </w:p>
        </w:tc>
        <w:tc>
          <w:tcPr>
            <w:tcW w:w="18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7440" w:type="dxa"/>
            <w:vAlign w:val="bottom"/>
            <w:gridSpan w:val="10"/>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Risk Factors</w:t>
              </w:r>
            </w:hyperlink>
          </w:p>
        </w:tc>
        <w:tc>
          <w:tcPr>
            <w:tcW w:w="18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1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5">
              <w:r>
                <w:rPr>
                  <w:rFonts w:ascii="Arial" w:cs="Arial" w:eastAsia="Arial" w:hAnsi="Arial"/>
                  <w:sz w:val="18"/>
                  <w:szCs w:val="18"/>
                  <w:u w:val="single" w:color="auto"/>
                  <w:color w:val="0000FF"/>
                </w:rPr>
                <w:t>Unregistered Sales of Equity Securities and Use of Proceeds</w:t>
              </w:r>
            </w:hyperlink>
          </w:p>
        </w:tc>
        <w:tc>
          <w:tcPr>
            <w:tcW w:w="18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1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5">
              <w:r>
                <w:rPr>
                  <w:rFonts w:ascii="Arial" w:cs="Arial" w:eastAsia="Arial" w:hAnsi="Arial"/>
                  <w:sz w:val="18"/>
                  <w:szCs w:val="18"/>
                  <w:u w:val="single" w:color="auto"/>
                  <w:color w:val="0000FF"/>
                </w:rPr>
                <w:t>Defaults Upon Senior Securities</w:t>
              </w:r>
            </w:hyperlink>
          </w:p>
        </w:tc>
        <w:tc>
          <w:tcPr>
            <w:tcW w:w="18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line="189" w:lineRule="exact"/>
              <w:rPr>
                <w:sz w:val="20"/>
                <w:szCs w:val="20"/>
                <w:color w:val="auto"/>
              </w:rPr>
            </w:pPr>
            <w:r>
              <w:rPr>
                <w:rFonts w:ascii="Arial" w:cs="Arial" w:eastAsia="Arial" w:hAnsi="Arial"/>
                <w:sz w:val="18"/>
                <w:szCs w:val="18"/>
                <w:color w:val="auto"/>
              </w:rPr>
              <w:t>-</w:t>
            </w:r>
          </w:p>
        </w:tc>
        <w:tc>
          <w:tcPr>
            <w:tcW w:w="7440" w:type="dxa"/>
            <w:vAlign w:val="bottom"/>
            <w:gridSpan w:val="10"/>
          </w:tcPr>
          <w:p>
            <w:pPr>
              <w:spacing w:after="0" w:line="189" w:lineRule="exact"/>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Mine Safety Disclosures</w:t>
              </w:r>
            </w:hyperlink>
          </w:p>
        </w:tc>
        <w:tc>
          <w:tcPr>
            <w:tcW w:w="1880" w:type="dxa"/>
            <w:vAlign w:val="bottom"/>
          </w:tcPr>
          <w:p>
            <w:pPr>
              <w:jc w:val="right"/>
              <w:spacing w:after="0" w:line="189" w:lineRule="exact"/>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40" w:type="dxa"/>
            <w:vAlign w:val="bottom"/>
            <w:gridSpan w:val="3"/>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Other Information</w:t>
              </w:r>
            </w:hyperlink>
          </w:p>
        </w:tc>
        <w:tc>
          <w:tcPr>
            <w:tcW w:w="100" w:type="dxa"/>
            <w:vAlign w:val="bottom"/>
            <w:tcBorders>
              <w:top w:val="single" w:sz="8" w:color="0000FF"/>
            </w:tcBorders>
          </w:tcPr>
          <w:p>
            <w:pPr>
              <w:spacing w:after="0"/>
              <w:rPr>
                <w:sz w:val="21"/>
                <w:szCs w:val="21"/>
                <w:color w:val="auto"/>
              </w:rPr>
            </w:pPr>
          </w:p>
        </w:tc>
        <w:tc>
          <w:tcPr>
            <w:tcW w:w="5500" w:type="dxa"/>
            <w:vAlign w:val="bottom"/>
            <w:gridSpan w:val="6"/>
          </w:tcPr>
          <w:p>
            <w:pPr>
              <w:spacing w:after="0"/>
              <w:rPr>
                <w:sz w:val="21"/>
                <w:szCs w:val="21"/>
                <w:color w:val="auto"/>
              </w:rPr>
            </w:pPr>
          </w:p>
        </w:tc>
        <w:tc>
          <w:tcPr>
            <w:tcW w:w="18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7440" w:type="dxa"/>
            <w:vAlign w:val="bottom"/>
            <w:gridSpan w:val="10"/>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Exhibits</w:t>
              </w:r>
            </w:hyperlink>
          </w:p>
        </w:tc>
        <w:tc>
          <w:tcPr>
            <w:tcW w:w="18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40" w:type="dxa"/>
            <w:vAlign w:val="bottom"/>
            <w:gridSpan w:val="10"/>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Signatures</w:t>
              </w:r>
            </w:hyperlink>
          </w:p>
        </w:tc>
        <w:tc>
          <w:tcPr>
            <w:tcW w:w="188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INCOME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Three Months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20" w:type="dxa"/>
            <w:vAlign w:val="bottom"/>
          </w:tcPr>
          <w:p>
            <w:pPr>
              <w:spacing w:after="0"/>
              <w:rPr>
                <w:sz w:val="19"/>
                <w:szCs w:val="19"/>
                <w:color w:val="auto"/>
              </w:rPr>
            </w:pPr>
          </w:p>
        </w:tc>
      </w:tr>
      <w:tr>
        <w:trPr>
          <w:trHeight w:val="23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September 30,</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2019</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r>
      <w:tr>
        <w:trPr>
          <w:trHeight w:val="223"/>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520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non-operating expense,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00" w:type="dxa"/>
            <w:vAlign w:val="bottom"/>
          </w:tcPr>
          <w:p>
            <w:pPr>
              <w:ind w:left="120"/>
              <w:spacing w:after="0"/>
              <w:rPr>
                <w:sz w:val="20"/>
                <w:szCs w:val="20"/>
                <w:color w:val="auto"/>
              </w:rPr>
            </w:pPr>
            <w:r>
              <w:rPr>
                <w:rFonts w:ascii="Arial" w:cs="Arial" w:eastAsia="Arial" w:hAnsi="Arial"/>
                <w:sz w:val="18"/>
                <w:szCs w:val="18"/>
                <w:color w:val="auto"/>
              </w:rPr>
              <w:t>Income (loss) before taxes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5200" w:type="dxa"/>
            <w:vAlign w:val="bottom"/>
          </w:tcPr>
          <w:p>
            <w:pPr>
              <w:ind w:left="120"/>
              <w:spacing w:after="0" w:line="196" w:lineRule="exact"/>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520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12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0.59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number of shares: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39"/>
        </w:trPr>
        <w:tc>
          <w:tcPr>
            <w:tcW w:w="5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181.0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181.2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181.0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181.2</w:t>
            </w: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w:t>
            </w:r>
          </w:p>
        </w:tc>
        <w:tc>
          <w:tcPr>
            <w:tcW w:w="240" w:type="dxa"/>
            <w:vAlign w:val="bottom"/>
          </w:tcPr>
          <w:p>
            <w:pPr>
              <w:spacing w:after="0"/>
              <w:rPr>
                <w:sz w:val="19"/>
                <w:szCs w:val="19"/>
                <w:color w:val="auto"/>
              </w:rPr>
            </w:pPr>
          </w:p>
        </w:tc>
        <w:tc>
          <w:tcPr>
            <w:tcW w:w="22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39"/>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September 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220" w:type="dxa"/>
            <w:vAlign w:val="bottom"/>
          </w:tcPr>
          <w:p>
            <w:pPr>
              <w:ind w:left="120"/>
              <w:spacing w:after="0"/>
              <w:rPr>
                <w:sz w:val="20"/>
                <w:szCs w:val="20"/>
                <w:color w:val="auto"/>
              </w:rPr>
            </w:pPr>
            <w:r>
              <w:rPr>
                <w:rFonts w:ascii="Arial" w:cs="Arial" w:eastAsia="Arial" w:hAnsi="Arial"/>
                <w:sz w:val="18"/>
                <w:szCs w:val="18"/>
                <w:color w:val="auto"/>
              </w:rPr>
              <w:t>Net change in derivative hedge agreements: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220" w:type="dxa"/>
            <w:vAlign w:val="bottom"/>
          </w:tcPr>
          <w:p>
            <w:pPr>
              <w:ind w:left="340"/>
              <w:spacing w:after="0"/>
              <w:rPr>
                <w:sz w:val="20"/>
                <w:szCs w:val="20"/>
                <w:color w:val="auto"/>
              </w:rPr>
            </w:pPr>
            <w:r>
              <w:rPr>
                <w:rFonts w:ascii="Arial" w:cs="Arial" w:eastAsia="Arial" w:hAnsi="Arial"/>
                <w:sz w:val="18"/>
                <w:szCs w:val="18"/>
                <w:color w:val="auto"/>
              </w:rPr>
              <w:t>Amount of (gain) loss reclassified into net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postretirement benefit plans: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220" w:type="dxa"/>
            <w:vAlign w:val="bottom"/>
          </w:tcPr>
          <w:p>
            <w:pPr>
              <w:ind w:left="340"/>
              <w:spacing w:after="0"/>
              <w:rPr>
                <w:sz w:val="20"/>
                <w:szCs w:val="20"/>
                <w:color w:val="auto"/>
              </w:rPr>
            </w:pPr>
            <w:r>
              <w:rPr>
                <w:rFonts w:ascii="Arial" w:cs="Arial" w:eastAsia="Arial" w:hAnsi="Arial"/>
                <w:sz w:val="18"/>
                <w:szCs w:val="18"/>
                <w:color w:val="auto"/>
              </w:rPr>
              <w:t>Amortization of net actuarial loss into net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Settlement/Curtailment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related to items of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7"/>
                <w:szCs w:val="17"/>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3"/>
        </w:trPr>
        <w:tc>
          <w:tcPr>
            <w:tcW w:w="7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9"/>
        </w:trPr>
        <w:tc>
          <w:tcPr>
            <w:tcW w:w="748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Receivables, less allowances for discounts, returns and doubtful accounts of $40 and $35</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2020 and 2019, respectively</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9"/>
        </w:trPr>
        <w:tc>
          <w:tcPr>
            <w:tcW w:w="74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748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3,311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9"/>
        </w:trPr>
        <w:tc>
          <w:tcPr>
            <w:tcW w:w="74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2,795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Short-term borrowings and current maturities of long-term debt</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748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postretirement benefits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7480" w:type="dxa"/>
            <w:vAlign w:val="bottom"/>
          </w:tcPr>
          <w:p>
            <w:pPr>
              <w:ind w:left="320"/>
              <w:spacing w:after="0"/>
              <w:rPr>
                <w:sz w:val="20"/>
                <w:szCs w:val="20"/>
                <w:color w:val="auto"/>
              </w:rPr>
            </w:pPr>
            <w:r>
              <w:rPr>
                <w:rFonts w:ascii="Arial" w:cs="Arial" w:eastAsia="Arial" w:hAnsi="Arial"/>
                <w:sz w:val="18"/>
                <w:szCs w:val="18"/>
                <w:color w:val="auto"/>
              </w:rPr>
              <w:t>Deferred income tax liabilities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non-current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0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 par value $0.01 per share: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480" w:type="dxa"/>
            <w:vAlign w:val="bottom"/>
          </w:tcPr>
          <w:p>
            <w:pPr>
              <w:ind w:left="460"/>
              <w:spacing w:after="0" w:line="189" w:lineRule="exact"/>
              <w:rPr>
                <w:sz w:val="20"/>
                <w:szCs w:val="20"/>
                <w:color w:val="auto"/>
              </w:rPr>
            </w:pPr>
            <w:r>
              <w:rPr>
                <w:rFonts w:ascii="Arial" w:cs="Arial" w:eastAsia="Arial" w:hAnsi="Arial"/>
                <w:sz w:val="18"/>
                <w:szCs w:val="18"/>
                <w:color w:val="auto"/>
              </w:rPr>
              <w:t>Authorized 750.0 shares, issued 194.6 shares and 193.9 shares in 2020 and 2019,</w:t>
            </w:r>
          </w:p>
        </w:tc>
        <w:tc>
          <w:tcPr>
            <w:tcW w:w="20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in excess of par value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30"/>
        </w:trPr>
        <w:tc>
          <w:tcPr>
            <w:tcW w:w="748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 at cost 14.5 shares and 13.7 shares in 2020 and 2019, respectively</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23"/>
        </w:trPr>
        <w:tc>
          <w:tcPr>
            <w:tcW w:w="748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23"/>
        </w:trPr>
        <w:tc>
          <w:tcPr>
            <w:tcW w:w="7480" w:type="dxa"/>
            <w:vAlign w:val="bottom"/>
          </w:tcPr>
          <w:p>
            <w:pPr>
              <w:ind w:left="10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nine months ended September 30,</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796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960" w:type="dxa"/>
            <w:vAlign w:val="bottom"/>
          </w:tcPr>
          <w:p>
            <w:pPr>
              <w:ind w:left="340"/>
              <w:spacing w:after="0"/>
              <w:rPr>
                <w:sz w:val="20"/>
                <w:szCs w:val="20"/>
                <w:color w:val="auto"/>
              </w:rPr>
            </w:pPr>
            <w:r>
              <w:rPr>
                <w:rFonts w:ascii="Arial" w:cs="Arial" w:eastAsia="Arial" w:hAnsi="Arial"/>
                <w:sz w:val="18"/>
                <w:szCs w:val="18"/>
                <w:color w:val="auto"/>
              </w:rPr>
              <w:t>Restructuring and asset impairment charges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impairment charge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7960" w:type="dxa"/>
            <w:vAlign w:val="bottom"/>
          </w:tcPr>
          <w:p>
            <w:pPr>
              <w:ind w:left="340"/>
              <w:spacing w:after="0"/>
              <w:rPr>
                <w:sz w:val="20"/>
                <w:szCs w:val="20"/>
                <w:color w:val="auto"/>
              </w:rPr>
            </w:pPr>
            <w:r>
              <w:rPr>
                <w:rFonts w:ascii="Arial" w:cs="Arial" w:eastAsia="Arial" w:hAnsi="Arial"/>
                <w:sz w:val="18"/>
                <w:szCs w:val="18"/>
                <w:color w:val="auto"/>
              </w:rPr>
              <w:t>Gain from sale of business</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Payments for restructuring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assets and liabilities (net of acquisitions):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340"/>
              <w:spacing w:after="0"/>
              <w:rPr>
                <w:sz w:val="20"/>
                <w:szCs w:val="20"/>
                <w:color w:val="auto"/>
              </w:rPr>
            </w:pPr>
            <w:r>
              <w:rPr>
                <w:rFonts w:ascii="Arial" w:cs="Arial" w:eastAsia="Arial" w:hAnsi="Arial"/>
                <w:sz w:val="18"/>
                <w:szCs w:val="18"/>
                <w:color w:val="auto"/>
              </w:rPr>
              <w:t>Changes in receivables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inventories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960" w:type="dxa"/>
            <w:vAlign w:val="bottom"/>
          </w:tcPr>
          <w:p>
            <w:pPr>
              <w:ind w:left="340"/>
              <w:spacing w:after="0"/>
              <w:rPr>
                <w:sz w:val="20"/>
                <w:szCs w:val="20"/>
                <w:color w:val="auto"/>
              </w:rPr>
            </w:pPr>
            <w:r>
              <w:rPr>
                <w:rFonts w:ascii="Arial" w:cs="Arial" w:eastAsia="Arial" w:hAnsi="Arial"/>
                <w:sz w:val="18"/>
                <w:szCs w:val="18"/>
                <w:color w:val="auto"/>
              </w:rPr>
              <w:t>Changes in accounts payable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accrued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 of business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Proceeds from the sale of property, plant and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received from investments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Cash paid for investments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540"/>
              <w:spacing w:after="0"/>
              <w:rPr>
                <w:sz w:val="20"/>
                <w:szCs w:val="20"/>
                <w:color w:val="auto"/>
              </w:rPr>
            </w:pPr>
            <w:r>
              <w:rPr>
                <w:rFonts w:ascii="Arial" w:cs="Arial" w:eastAsia="Arial" w:hAnsi="Arial"/>
                <w:sz w:val="18"/>
                <w:szCs w:val="18"/>
                <w:b w:val="1"/>
                <w:bCs w:val="1"/>
                <w:color w:val="auto"/>
              </w:rPr>
              <w:t>Net Cash – Investing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Short-term debt issued,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debt repaid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Long-term debt issued,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Proceeds from exercise of employee stock options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54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 (net of refunds received)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3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9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19, "Segment Information", to the condensed consolidated financial statements for further segment background information.</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9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2019 ("2019 Annual Report") in preparing these unaudited condensed consolidated financial statements, with the exception of accounting standard updates described in Note 2. These condensed consolidated financial statements should be read in conjunction with the audited consolidated financial statements and the notes included in our 2019 Annual Report.</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 contingency accruals and valuation allowances, goodwill and indefinite lived intangible impairment testing, contingent liabilities and lease accounting. The global outbreak of the novel coronavirus (COVID-19) disease in March 2020, declared a pandemic by the World Health Organization, has created significant global volatility, uncertainty and economic disruption. The COVID-19 pandemic also has caused increased uncertainty in estimates and assumptions affecting the condensed consolidated financial statements. Actual results could differ from these estimates.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2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June 2016, the Financial Accounting Standards Board issued Accounting Standards Update 2016-13, "Financial Instruments-Credit Losses (Topic 326), Measurement of Credit Losses on Financial Instruments," amending the accounting for the impairment of financial instruments, including trade receivables. Under previous guidance, credit losses were recognized when the applicable losses had a probable likelihood of occurring and this assessment was based on past events and current conditions. The amended current guidance eliminates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line="224" w:lineRule="auto"/>
        <w:rPr>
          <w:sz w:val="20"/>
          <w:szCs w:val="20"/>
          <w:color w:val="auto"/>
        </w:rPr>
      </w:pPr>
      <w:r>
        <w:rPr>
          <w:rFonts w:ascii="Arial" w:cs="Arial" w:eastAsia="Arial" w:hAnsi="Arial"/>
          <w:sz w:val="18"/>
          <w:szCs w:val="18"/>
          <w:color w:val="auto"/>
        </w:rPr>
        <w:t>“probable” threshold and requires an entity to use a broader range of information, including forecast information when estimating expected credit losses. Generally, this should result in a more timely recognition of credit losses. This guidance became effective for interim and annual periods beginning after December 15, 2019 with early adoption permitted for interim and annual periods beginning after December 15, 2018. The requirements of the amended guidance should be applied using a modified retrospective approach except for debt securities, which require a prospective transition approach. We adopted this guidance as of January 1, 2020. The adoption of this guidance did not have a material impact on our financial condition and results of operations.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2020 we spent approximately $0 million, net of cash received on acquisition activity.</w:t>
      </w:r>
    </w:p>
    <w:p>
      <w:pPr>
        <w:spacing w:after="0" w:line="23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During the three and nine months ended September 30, 2019 we spent approximately $0 million and $18 million, net of cash received on acquisition activity,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56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29"/>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70"/>
        </w:trPr>
        <w:tc>
          <w:tcPr>
            <w:tcW w:w="5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560" w:type="dxa"/>
            <w:vAlign w:val="bottom"/>
          </w:tcPr>
          <w:p>
            <w:pPr>
              <w:ind w:left="280"/>
              <w:spacing w:after="0"/>
              <w:rPr>
                <w:sz w:val="20"/>
                <w:szCs w:val="20"/>
                <w:color w:val="auto"/>
              </w:rPr>
            </w:pPr>
            <w:r>
              <w:rPr>
                <w:rFonts w:ascii="Arial" w:cs="Arial" w:eastAsia="Arial" w:hAnsi="Arial"/>
                <w:sz w:val="18"/>
                <w:szCs w:val="18"/>
                <w:color w:val="auto"/>
              </w:rPr>
              <w:t>Building Services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30"/>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70"/>
        </w:trPr>
        <w:tc>
          <w:tcPr>
            <w:tcW w:w="5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560" w:type="dxa"/>
            <w:vAlign w:val="bottom"/>
          </w:tcPr>
          <w:p>
            <w:pPr>
              <w:ind w:left="280"/>
              <w:spacing w:after="0"/>
              <w:rPr>
                <w:sz w:val="20"/>
                <w:szCs w:val="20"/>
                <w:color w:val="auto"/>
              </w:rPr>
            </w:pPr>
            <w:r>
              <w:rPr>
                <w:rFonts w:ascii="Arial" w:cs="Arial" w:eastAsia="Arial" w:hAnsi="Arial"/>
                <w:sz w:val="18"/>
                <w:szCs w:val="18"/>
                <w:color w:val="auto"/>
              </w:rPr>
              <w:t>Water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Energy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5560" w:type="dxa"/>
            <w:vAlign w:val="bottom"/>
          </w:tcPr>
          <w:p>
            <w:pPr>
              <w:ind w:left="280"/>
              <w:spacing w:after="0"/>
              <w:rPr>
                <w:sz w:val="20"/>
                <w:szCs w:val="20"/>
                <w:color w:val="auto"/>
              </w:rPr>
            </w:pPr>
            <w:r>
              <w:rPr>
                <w:rFonts w:ascii="Arial" w:cs="Arial" w:eastAsia="Arial" w:hAnsi="Arial"/>
                <w:sz w:val="18"/>
                <w:szCs w:val="18"/>
                <w:color w:val="auto"/>
              </w:rPr>
              <w:t>Software as a Service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70"/>
        </w:trPr>
        <w:tc>
          <w:tcPr>
            <w:tcW w:w="55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0"/>
        </w:trPr>
        <w:tc>
          <w:tcPr>
            <w:tcW w:w="55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Contract Balances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Billings</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September 30, 2019</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2020</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Excludes receivable balances which are disclosed on the balance sheet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Performance obligations</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September 30, 2020, the aggregate amount of the transaction price allocated to performance obligations that are unsatisfied or partially unsatisfied for contracts with performance obligations, amount to $459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 response to the changes in business and economic conditions arising as a result of the COVID-19 pandemic, on June 2, 2020 management committed to a restructuring plan that includes actions across our businesses and functions globally. The plan is designed to support our long-term financial resilience and simplify our operations, strengthen our competitive positioning and better serve our customers.</w:t>
      </w:r>
    </w:p>
    <w:p>
      <w:pPr>
        <w:spacing w:after="0" w:line="7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a result of the plan, during the three and nine months ended September 30, 2020, we recognized restructuring charges of $8 million and $48 million, respectively. These charges included reduction of headcount across all segments and asset impairments within our Measurement &amp; Control Solutions segment. Immaterial restructuring charges incurred during the first quarter are included in the plan information presented below.</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three and nine months ended September 30, 2019, we recognized restructuring charges of $26 million and $48 million, respectively. We incurred these charges primarily as a continuation of our efforts to reposition our European and North American businesses to optimize our cost structure and improve our operational efficiency and effectiveness. The charges included the reduction of headcount and consolidation of facilities within our Measurement &amp; Control Solutions and Water Infrastructure segments, as well as headcount reductions within our Applied Water segment.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2"/>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5760" w:type="dxa"/>
            <w:vAlign w:val="bottom"/>
          </w:tcPr>
          <w:p>
            <w:pPr>
              <w:ind w:left="120"/>
              <w:spacing w:after="0"/>
              <w:rPr>
                <w:sz w:val="20"/>
                <w:szCs w:val="20"/>
                <w:color w:val="auto"/>
              </w:rPr>
            </w:pPr>
            <w:r>
              <w:rPr>
                <w:rFonts w:ascii="Arial" w:cs="Arial" w:eastAsia="Arial" w:hAnsi="Arial"/>
                <w:sz w:val="18"/>
                <w:szCs w:val="18"/>
                <w:color w:val="auto"/>
              </w:rPr>
              <w:t>Severance and other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related charges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760" w:type="dxa"/>
            <w:vAlign w:val="bottom"/>
          </w:tcPr>
          <w:p>
            <w:pPr>
              <w:ind w:left="120"/>
              <w:spacing w:after="0"/>
              <w:rPr>
                <w:sz w:val="20"/>
                <w:szCs w:val="20"/>
                <w:color w:val="auto"/>
              </w:rPr>
            </w:pPr>
            <w:r>
              <w:rPr>
                <w:rFonts w:ascii="Arial" w:cs="Arial" w:eastAsia="Arial" w:hAnsi="Arial"/>
                <w:sz w:val="18"/>
                <w:szCs w:val="18"/>
                <w:color w:val="auto"/>
              </w:rPr>
              <w:t>Asset impairment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restructuring charges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tcPr>
          <w:p>
            <w:pPr>
              <w:ind w:left="120"/>
              <w:spacing w:after="0"/>
              <w:rPr>
                <w:sz w:val="20"/>
                <w:szCs w:val="20"/>
                <w:color w:val="auto"/>
              </w:rPr>
            </w:pPr>
            <w:r>
              <w:rPr>
                <w:rFonts w:ascii="Arial" w:cs="Arial" w:eastAsia="Arial" w:hAnsi="Arial"/>
                <w:sz w:val="18"/>
                <w:szCs w:val="18"/>
                <w:color w:val="auto"/>
              </w:rPr>
              <w:t>Reversal of restructuring accruals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charges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760" w:type="dxa"/>
            <w:vAlign w:val="bottom"/>
          </w:tcPr>
          <w:p>
            <w:pPr>
              <w:ind w:left="460"/>
              <w:spacing w:after="0"/>
              <w:rPr>
                <w:sz w:val="20"/>
                <w:szCs w:val="20"/>
                <w:color w:val="auto"/>
              </w:rPr>
            </w:pPr>
            <w:r>
              <w:rPr>
                <w:rFonts w:ascii="Arial" w:cs="Arial" w:eastAsia="Arial" w:hAnsi="Arial"/>
                <w:sz w:val="18"/>
                <w:szCs w:val="18"/>
                <w:color w:val="auto"/>
              </w:rPr>
              <w:t>Water Infrastructure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Applied Water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9"/>
        </w:trPr>
        <w:tc>
          <w:tcPr>
            <w:tcW w:w="5760" w:type="dxa"/>
            <w:vAlign w:val="bottom"/>
          </w:tcPr>
          <w:p>
            <w:pPr>
              <w:ind w:left="460"/>
              <w:spacing w:after="0"/>
              <w:rPr>
                <w:sz w:val="20"/>
                <w:szCs w:val="20"/>
                <w:color w:val="auto"/>
              </w:rPr>
            </w:pPr>
            <w:r>
              <w:rPr>
                <w:rFonts w:ascii="Arial" w:cs="Arial" w:eastAsia="Arial" w:hAnsi="Arial"/>
                <w:sz w:val="18"/>
                <w:szCs w:val="18"/>
                <w:color w:val="auto"/>
              </w:rPr>
              <w:t>Measurement &amp; Control Solutions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jc w:val="both"/>
        <w:ind w:right="240"/>
        <w:spacing w:after="0" w:line="261" w:lineRule="auto"/>
        <w:rPr>
          <w:sz w:val="20"/>
          <w:szCs w:val="20"/>
          <w:color w:val="auto"/>
        </w:rPr>
      </w:pPr>
      <w:r>
        <w:rPr>
          <w:rFonts w:ascii="Arial" w:cs="Arial" w:eastAsia="Arial" w:hAnsi="Arial"/>
          <w:sz w:val="18"/>
          <w:szCs w:val="18"/>
          <w:color w:val="auto"/>
        </w:rPr>
        <w:t>The following table displays a roll-forward of the restructuring accruals, presented on our Condensed Consolidated Balance Sheets within "Accrued and other current liabilities" and "other non-current accrued liabilities", for the nine months ended September 30, 2020 and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and 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Restructuring accruals - September 30</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440" w:type="dxa"/>
            <w:vAlign w:val="bottom"/>
          </w:tcPr>
          <w:p>
            <w:pPr>
              <w:ind w:left="46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440" w:type="dxa"/>
            <w:vAlign w:val="bottom"/>
          </w:tcPr>
          <w:p>
            <w:pPr>
              <w:ind w:left="460"/>
              <w:spacing w:after="0"/>
              <w:rPr>
                <w:sz w:val="20"/>
                <w:szCs w:val="20"/>
                <w:color w:val="auto"/>
              </w:rPr>
            </w:pPr>
            <w:r>
              <w:rPr>
                <w:rFonts w:ascii="Arial" w:cs="Arial" w:eastAsia="Arial" w:hAnsi="Arial"/>
                <w:sz w:val="18"/>
                <w:szCs w:val="18"/>
                <w:color w:val="auto"/>
              </w:rPr>
              <w:t>Regional selling locations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10" w:lineRule="exact"/>
        <w:rPr>
          <w:sz w:val="20"/>
          <w:szCs w:val="20"/>
          <w:color w:val="auto"/>
        </w:rPr>
      </w:pPr>
    </w:p>
    <w:p>
      <w:pPr>
        <w:ind w:left="340" w:right="20" w:hanging="332"/>
        <w:spacing w:after="0" w:line="260"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which was allocated to the segments. The liabilities associated with restructuring expense were not allocated to the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expected restructuring spend in 2020 and thereafter: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Q3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2019: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Q3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2021. The Water Infrastructure, Applied Water, and Measurement &amp; Control Solutions actions commenced in 2019 consist primarily of severance charges. The actions commenced in 2019 are complete.</w:t>
      </w:r>
    </w:p>
    <w:p>
      <w:pPr>
        <w:spacing w:after="0" w:line="20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During the second quarter of 2020, the discontinuance of a product line resulted in $17 million of asset impairments, primarily related to customer relationships, trademarks and fixed assets within our Measurement &amp; Control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third quarter of 2020, we determined that certain assets including software and proprietary technology within our Measurement &amp; Control Solutions segment were impaired. Accordingly we recognized an impairment charge of $11 million. Refer to Note 9, "Goodwill and Other Intangible Assets," for additional information.</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9, "Goodwill and Other Intangible Assets," for additional information.</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third quarter of 2019, we determined that certain assets within our Measurement &amp; Control Solutions segment, including customer relationships, internally developed software, proprietary technology, and plant property &amp; equipment, were impaired. Accordingly we recognized an impairment charge of $7 million. Refer to Note 9, "Goodwill and Other Intangible Assets," for additional information.</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During the first quarter of 2019, we determined that certain assets within our Measurement &amp; Control Solutions segment, including a customer relationship, were impaired. Accordingly we recognized an impairment charge of $3 million. Refer to Note 9, "Goodwill and Other Intangible Assets," for additional information.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w:t>
      </w:r>
    </w:p>
    <w:p>
      <w:pPr>
        <w:spacing w:after="0" w:line="9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income tax provision for the three months ended September 30, 2020 was $13 million resulting in an effective tax rate of 26.2%, compared to a benefit of $77 million resulting in an effective tax rate of 623.6% (on a pre-tax loss for the period) for the same period in 2019. The income tax provision for the nine months ended September 30, 2020 was $21 million resulting in an effective tax rate of 16.6%, compared to a benefit of $45 million resulting in an effective tax rate of (18.9)% for the same period in 2019. The effective tax rate for the three and nine month periods ended September 30, 2020 differs from the United States federal statutory rate primarily due to the mix of earnings in jurisdictions, partially offset by the Global Intangible Low-Taxed Income ("GILTI") inclusion and goodwill impairment charge. Additionally, the effective tax rate for the three and nine month periods ended September 30, 2020 differs from the same periods in 2019 due primarily to the impact of the changes in tax law in Switzerland in 2019 along with the impact of the larger goodwill impairment charge on income before taxes in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or litigation, based on the technical merits of the position. The tax benefits recognized in the condensed consolidated financial statements from such positions are measured based on the largest benefit that has a greater than 50% likelihood of being realized upon ultimate resolution. The amount of unrecognized tax benefits at September 30, 2020 was $125 million, as compared to $129 million at December 31, 2019, which if ultimately recognized will reduce our effective tax rate. We believe that it is reasonably possible that the unrecognized tax benefits will be reduced by approximately $1 million within the next 12 months as a result of the expiration of certain statutes of limitations. We classify interest expense relating to unrecognized tax benefits as a component of "Other non-operating expense, net" and tax penalties as a component of "Income tax expense (benefit)" in our Condensed Consolidated Income Statements. As of September 30, 2020, we had $9 million of interest accrued for unrecognized tax benefits.</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The assessment asserts an aggregate amount of approximately $80 million for tax, penalties and interest. Xylem filed an appeal with the Administrative Court of Stockholm. Management, in consultation with external legal advisors, believes it is more likely than not that Xylem will prevail on the proposed assessment and is vigorously defending our position through litigation. As of September 30, 2020, we have not recorded any unrecognized tax benefits related to this uncertain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0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w w:val="96"/>
              </w:rPr>
              <w:t>2019</w:t>
            </w:r>
          </w:p>
        </w:tc>
      </w:tr>
      <w:tr>
        <w:trPr>
          <w:trHeight w:val="223"/>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(in millions)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10"/>
        </w:trPr>
        <w:tc>
          <w:tcPr>
            <w:tcW w:w="6040" w:type="dxa"/>
            <w:vAlign w:val="bottom"/>
          </w:tcPr>
          <w:p>
            <w:pPr>
              <w:ind w:left="120"/>
              <w:spacing w:after="0"/>
              <w:rPr>
                <w:sz w:val="20"/>
                <w:szCs w:val="20"/>
                <w:color w:val="auto"/>
              </w:rPr>
            </w:pPr>
            <w:r>
              <w:rPr>
                <w:rFonts w:ascii="Arial" w:cs="Arial" w:eastAsia="Arial" w:hAnsi="Arial"/>
                <w:sz w:val="18"/>
                <w:szCs w:val="18"/>
                <w:color w:val="auto"/>
              </w:rPr>
              <w:t>Shares (in thousands):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179,909</w:t>
            </w:r>
          </w:p>
        </w:tc>
      </w:tr>
      <w:tr>
        <w:trPr>
          <w:trHeight w:val="230"/>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 Participating securities (a)</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179,938</w:t>
            </w:r>
          </w:p>
        </w:tc>
      </w:tr>
      <w:tr>
        <w:trPr>
          <w:trHeight w:val="230"/>
        </w:trPr>
        <w:tc>
          <w:tcPr>
            <w:tcW w:w="6040" w:type="dxa"/>
            <w:vAlign w:val="bottom"/>
          </w:tcPr>
          <w:p>
            <w:pPr>
              <w:ind w:left="120"/>
              <w:spacing w:after="0"/>
              <w:rPr>
                <w:sz w:val="20"/>
                <w:szCs w:val="20"/>
                <w:color w:val="auto"/>
              </w:rPr>
            </w:pPr>
            <w:r>
              <w:rPr>
                <w:rFonts w:ascii="Arial" w:cs="Arial" w:eastAsia="Arial" w:hAnsi="Arial"/>
                <w:sz w:val="18"/>
                <w:szCs w:val="18"/>
                <w:color w:val="auto"/>
              </w:rPr>
              <w:t>Plus incremental shares from assumed conversions: (b)</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29"/>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23"/>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180,956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181,159</w:t>
            </w:r>
          </w:p>
        </w:tc>
      </w:tr>
      <w:tr>
        <w:trPr>
          <w:trHeight w:val="223"/>
        </w:trPr>
        <w:tc>
          <w:tcPr>
            <w:tcW w:w="6040" w:type="dxa"/>
            <w:vAlign w:val="bottom"/>
          </w:tcPr>
          <w:p>
            <w:pPr>
              <w:ind w:left="12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0.59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bl>
    <w:p>
      <w:pPr>
        <w:spacing w:after="0" w:line="110" w:lineRule="exact"/>
        <w:rPr>
          <w:sz w:val="20"/>
          <w:szCs w:val="20"/>
          <w:color w:val="auto"/>
        </w:rPr>
      </w:pPr>
    </w:p>
    <w:p>
      <w:pPr>
        <w:ind w:left="340" w:right="500" w:hanging="332"/>
        <w:spacing w:after="0" w:line="260"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Restricted stock unit awards containing rights to non-forfeitable dividends that participate in undistributed earnings with common shareholders are considered participating securities for purposes of computing earnings per share.</w:t>
      </w:r>
    </w:p>
    <w:p>
      <w:pPr>
        <w:spacing w:after="0" w:line="87" w:lineRule="exact"/>
        <w:rPr>
          <w:rFonts w:ascii="Arial" w:cs="Arial" w:eastAsia="Arial" w:hAnsi="Arial"/>
          <w:sz w:val="16"/>
          <w:szCs w:val="16"/>
          <w:color w:val="auto"/>
        </w:rPr>
      </w:pPr>
    </w:p>
    <w:p>
      <w:pPr>
        <w:ind w:left="340" w:right="40" w:hanging="332"/>
        <w:spacing w:after="0" w:line="248"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7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720" w:type="dxa"/>
            <w:vAlign w:val="bottom"/>
            <w:gridSpan w:val="5"/>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86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77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3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3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color w:val="auto"/>
              </w:rPr>
              <w:t>2019</w:t>
            </w:r>
          </w:p>
        </w:tc>
        <w:tc>
          <w:tcPr>
            <w:tcW w:w="240" w:type="dxa"/>
            <w:vAlign w:val="bottom"/>
          </w:tcPr>
          <w:p>
            <w:pPr>
              <w:spacing w:after="0"/>
              <w:rPr>
                <w:sz w:val="15"/>
                <w:szCs w:val="15"/>
                <w:color w:val="auto"/>
              </w:rPr>
            </w:pPr>
          </w:p>
        </w:tc>
        <w:tc>
          <w:tcPr>
            <w:tcW w:w="124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415"/>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options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1,611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Restricted stock units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Performance share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675"/>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Note 8. Inventories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7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5720" w:type="dxa"/>
            <w:vAlign w:val="bottom"/>
            <w:tcBorders>
              <w:bottom w:val="single" w:sz="8" w:color="CCEEFF"/>
            </w:tcBorders>
            <w:gridSpan w:val="2"/>
            <w:vMerge w:val="continue"/>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Finished goods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237</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Work in process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Raw materials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292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Total inventories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b w:val="1"/>
                <w:bCs w:val="1"/>
                <w:color w:val="auto"/>
              </w:rPr>
              <w:t>582</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nine months ended September 30, 2020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Measurement &amp;</w:t>
            </w:r>
          </w:p>
        </w:tc>
        <w:tc>
          <w:tcPr>
            <w:tcW w:w="280" w:type="dxa"/>
            <w:vAlign w:val="bottom"/>
          </w:tcPr>
          <w:p>
            <w:pPr>
              <w:spacing w:after="0"/>
              <w:rPr>
                <w:sz w:val="14"/>
                <w:szCs w:val="14"/>
                <w:color w:val="auto"/>
              </w:rPr>
            </w:pPr>
          </w:p>
        </w:tc>
        <w:tc>
          <w:tcPr>
            <w:tcW w:w="9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Balance as of January 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30"/>
        </w:trPr>
        <w:tc>
          <w:tcPr>
            <w:tcW w:w="5500" w:type="dxa"/>
            <w:vAlign w:val="bottom"/>
          </w:tcPr>
          <w:p>
            <w:pPr>
              <w:ind w:left="120"/>
              <w:spacing w:after="0"/>
              <w:rPr>
                <w:sz w:val="20"/>
                <w:szCs w:val="20"/>
                <w:color w:val="auto"/>
              </w:rPr>
            </w:pPr>
            <w:r>
              <w:rPr>
                <w:rFonts w:ascii="Arial" w:cs="Arial" w:eastAsia="Arial" w:hAnsi="Arial"/>
                <w:sz w:val="18"/>
                <w:szCs w:val="18"/>
                <w:i w:val="1"/>
                <w:iCs w:val="1"/>
                <w:color w:val="auto"/>
              </w:rPr>
              <w:t>Activity in 2020</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Balance as of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During the third quarter of 2020, the Company recorded a goodwill impairment charge of $58 million related to the Advanced Infrastructure Analytics (“AIA”) goodwill reporting unit within our Measurement &amp; Control Solutions segment. The AIA reporting unit is comprised of our assessment services business (primarily the Pure Technologies Ltd. ("Pure") acquisition) as well as our digital solutions business. The impairment resulted from management's updated forecast of future cash flows for the AIA businesses, which reflects significant negative volume impacts from the COVID-19 pandemic, primarily on our assessment services business. Our ongoing investment in the AIA businesses also continues to impact near term profitability. These factors drove the decrease in forecasted cash flows, and as such, the calculated fair value of the AIA reporting unit below its carrying value as of the third quarter. To determine the fair value of the AIA reporting unit, the Company used the income approach. Under the income approach, the fair value of the AIA reporting unit was based on the present value of the estimated cash flows that the reporting unit is expected to generate over its remaining life. Cash flow projections were based on management’s estimates of revenue growth rates and operating margins, taking into consideration industry and market conditions. The discount rate was based on the weighted average cost of capital appropriate for the AIA reporting unit.</w:t>
      </w:r>
    </w:p>
    <w:p>
      <w:pPr>
        <w:spacing w:after="0" w:line="10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third quarter of 2019, the Company recorded a goodwill impairment charge of $148 million related to the AIA goodwill reporting unit within our Measurement &amp; Control Solutions segment. The impairment resulted from a downward revision of forecasted future cash flows. Factors that contributed to the revised forecast in the third quarter include lower than expected results as compared to prior forecasts, largely as a result of slower-than-expected conversion of pipeline opportunities to revenue. Additionally, we have continued to invest in the AIA platform ahead of the adoption curve, which has also impacted the near term profitability of the business. These factors drove the decrease in forecasted cash flows, and as such, the calculated fair value of the AIA reporting unit below its carrying value as of the third quarter. To determine the fair value of the AIA reporting unit, the Company used the income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2019</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0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2"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5"/>
        </w:trPr>
        <w:tc>
          <w:tcPr>
            <w:tcW w:w="30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Intangibles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68"/>
        </w:trPr>
        <w:tc>
          <w:tcPr>
            <w:tcW w:w="30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Customer and distributor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Amortization expense related to finite-lived intangible assets was $33 million and $101 million for the three and nine month periods ended September 30, 2020, respectively, and $34 million and $104 million for the three and nine month periods ended September 30, 2019, respectively.</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third quarter of 2020, the Company assessed whether the carrying amounts of the AIA reporting unit’s long-lived assets may not be recoverable based on the updated forecast of future cash flows, and therefore impaired. Our assessment resulted in an impairment charge of $11 million, primarily related to software and proprietary technology. The charge was calculated using an income approach, which is considered a Level 3 input for fair value measurement, and is reflected in “Restructuring and asset impairment charges” in our Condensed Consolidated Income Statements.</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second quarter of 2020, we recognized impairment charges of $16 million primarily related to customer relationships and trademarks due to discontinuance of a product line within our Measurement &amp; Control Solutions segment. We also determined that internally developed in-process software within our Measurement &amp; Control Solutions segment was impaired as a result of actions taken to prioritize strategic investments and recognized an impairment charge of $10 million.</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third quarter of 2019, the Company also assessed whether the carrying amounts of the AIA reporting unit’s long-lived assets may not be recoverable based on the revised forecasted cash flows, and therefore impaired. Our assessment resulted in an impairment charge of $7 million, primarily related to customer relationships, proprietary technology, software and property, plant and equipment. The charge was calculated using an income approach.</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the first quarter of 2019, we determined that the intended use of a finite-lived customer relationship within the test application of our Measurement &amp; Control Solutions segment had changed. Accordingly we recorded a $3 million impairment charge. The charge was calculated using the income approach and is reflected in “Restructuring and asset impairment charges” in our Condensed Consolidated Income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6" w:name="page17"/>
    <w:bookmarkEnd w:id="16"/>
    <w:p>
      <w:pPr>
        <w:ind w:right="100"/>
        <w:spacing w:after="0" w:line="261" w:lineRule="auto"/>
        <w:rPr>
          <w:sz w:val="20"/>
          <w:szCs w:val="20"/>
          <w:color w:val="auto"/>
        </w:rPr>
      </w:pPr>
      <w:r>
        <w:rPr>
          <w:rFonts w:ascii="Arial" w:cs="Arial" w:eastAsia="Arial" w:hAnsi="Arial"/>
          <w:sz w:val="18"/>
          <w:szCs w:val="18"/>
          <w:color w:val="auto"/>
        </w:rPr>
        <w:t>various exchange rates. Currency forward agreements involve fixing the foreign currency exchange rate for delivery of a specified amount of foreign currency on a specified date.</w:t>
      </w:r>
    </w:p>
    <w:p>
      <w:pPr>
        <w:spacing w:after="0" w:line="9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Polish Zloty and Australian Dollar. We had foreign exchange contracts with purchased notional amounts totaling $137 million and $0 million as of September 30, 2020 and December 31, 2019, respectively. As of September 30, 2020, our most significant foreign currency derivatives included contracts to sell U.S. Dollar and purchase Euro, purchase Swedish Krona and sell Euro, sell British Pound and purchase Euro, purchase Polish Zloty and sell Euro, purchase U.S. Dollar and sell Canadian Dollar, and to sell Canadian Dollar and purchase Euro. The purchased notional amounts associated with these currency derivatives are $52 million, $47 million, $12 million, $8 million, $8 million and $7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13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Beginning in 2015, we entered into cross currency swaps to manage our exposure to fluctuations in the Euro-U.S. Dollar exchange rate. During the second quarter of 2019 and third quarter of 2020 we entered into additional cross currency swaps. The total notional amount of derivative instruments designated as net investment hedges was $1,189 million and $714 million as of September 30, 2020 and December 31, 2019,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We designated the entirety of the outstanding balance, or $581 million and $554 million as of September 30, 2020 and December 31, 2019, respectively, net of unamortized discount, as a hedge of a net investment in certain foreign subsidiaries.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w w:val="96"/>
              </w:rPr>
              <w:t>2019</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Foreign Exchange Contracts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Amount of (gain) loss reclassified from OCI into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reclassified from OCI into cost of revenue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Cross Currency Swaps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Foreign Currency Denominated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9"/>
        </w:trPr>
        <w:tc>
          <w:tcPr>
            <w:tcW w:w="5860" w:type="dxa"/>
            <w:vAlign w:val="bottom"/>
          </w:tcPr>
          <w:p>
            <w:pPr>
              <w:ind w:left="220"/>
              <w:spacing w:after="0"/>
              <w:rPr>
                <w:sz w:val="20"/>
                <w:szCs w:val="20"/>
                <w:color w:val="auto"/>
              </w:rPr>
            </w:pPr>
            <w:r>
              <w:rPr>
                <w:rFonts w:ascii="Arial" w:cs="Arial" w:eastAsia="Arial" w:hAnsi="Arial"/>
                <w:sz w:val="18"/>
                <w:szCs w:val="18"/>
                <w:color w:val="auto"/>
              </w:rPr>
              <w:t>Amount of gain (loss) recognized in OCI</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$6 million of net gains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no gains or losses on the net investment hedges are expected to be reclassified into earnings over their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ind w:right="60"/>
        <w:spacing w:after="0" w:line="261"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fair values of our foreign exchange contracts currently included in our hedging program designated as hedging instruments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480" w:type="dxa"/>
            <w:vAlign w:val="bottom"/>
          </w:tcPr>
          <w:p>
            <w:pPr>
              <w:jc w:val="right"/>
              <w:ind w:right="337"/>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776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1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The fair value of our long-term debt, due in 2023, designated as a net investment hedge was $611 million and $591 million as of September 30, 2020 and December 31, 2019,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81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and other employee benefits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180" w:type="dxa"/>
            <w:vAlign w:val="bottom"/>
          </w:tcPr>
          <w:p>
            <w:pPr>
              <w:ind w:left="120"/>
              <w:spacing w:after="0"/>
              <w:rPr>
                <w:sz w:val="20"/>
                <w:szCs w:val="20"/>
                <w:color w:val="auto"/>
              </w:rPr>
            </w:pPr>
            <w:r>
              <w:rPr>
                <w:rFonts w:ascii="Arial" w:cs="Arial" w:eastAsia="Arial" w:hAnsi="Arial"/>
                <w:sz w:val="18"/>
                <w:szCs w:val="18"/>
                <w:color w:val="auto"/>
              </w:rPr>
              <w:t>Customer-related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8180" w:type="dxa"/>
            <w:vAlign w:val="bottom"/>
          </w:tcPr>
          <w:p>
            <w:pPr>
              <w:ind w:left="12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warranty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12. Credit Facilities and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83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4.875% Senior Notes due 2021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8360" w:type="dxa"/>
            <w:vAlign w:val="bottom"/>
          </w:tcPr>
          <w:p>
            <w:pPr>
              <w:ind w:left="340"/>
              <w:spacing w:after="0"/>
              <w:rPr>
                <w:sz w:val="20"/>
                <w:szCs w:val="20"/>
                <w:color w:val="auto"/>
              </w:rPr>
            </w:pPr>
            <w:r>
              <w:rPr>
                <w:rFonts w:ascii="Arial" w:cs="Arial" w:eastAsia="Arial" w:hAnsi="Arial"/>
                <w:sz w:val="18"/>
                <w:szCs w:val="18"/>
                <w:color w:val="auto"/>
              </w:rPr>
              <w:t>2.250% Senior Notes due 2023 (a)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3.250% Senior Notes due 2026 (a)</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tcPr>
          <w:p>
            <w:pPr>
              <w:ind w:left="340"/>
              <w:spacing w:after="0"/>
              <w:rPr>
                <w:sz w:val="20"/>
                <w:szCs w:val="20"/>
                <w:color w:val="auto"/>
              </w:rPr>
            </w:pPr>
            <w:r>
              <w:rPr>
                <w:rFonts w:ascii="Arial" w:cs="Arial" w:eastAsia="Arial" w:hAnsi="Arial"/>
                <w:sz w:val="18"/>
                <w:szCs w:val="18"/>
                <w:color w:val="auto"/>
              </w:rPr>
              <w:t>1.950% Senior Notes due 2028 (b)</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2.250% Senior Notes due 2031 (b)</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4.375% Senior Notes due 2046 (a)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Debt issuance costs and unamortized discount (c)</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40" w:right="20" w:hanging="332"/>
        <w:spacing w:after="0" w:line="25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2021 was $627 million and $629 million as of September 30, 2020 and December 31, 2019, respectively. The fair value of our Senior Notes due 2023 was $611 million and $591 million as of September 30, 2020 and December 31, 2019, respectively. The fair value of our Senior Notes due 2026 was $555 million and $518 million as of September 30, 2020 and December 31, 2019, respectively. The fair value of our Senior Notes due 2046 was $474 million and $431 million as of September 30, 2020 and December 31, 2019, respectively.</w:t>
      </w:r>
    </w:p>
    <w:p>
      <w:pPr>
        <w:spacing w:after="0" w:line="94" w:lineRule="exact"/>
        <w:rPr>
          <w:rFonts w:ascii="Arial" w:cs="Arial" w:eastAsia="Arial" w:hAnsi="Arial"/>
          <w:sz w:val="16"/>
          <w:szCs w:val="16"/>
          <w:color w:val="auto"/>
        </w:rPr>
      </w:pPr>
    </w:p>
    <w:p>
      <w:pPr>
        <w:ind w:left="340" w:right="280" w:hanging="332"/>
        <w:spacing w:after="0" w:line="26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2028 and 2031 was $522 million and $530 million, respectively, as of September 30, 2020.</w:t>
      </w:r>
    </w:p>
    <w:p>
      <w:pPr>
        <w:spacing w:after="0" w:line="87" w:lineRule="exact"/>
        <w:rPr>
          <w:rFonts w:ascii="Arial" w:cs="Arial" w:eastAsia="Arial" w:hAnsi="Arial"/>
          <w:sz w:val="16"/>
          <w:szCs w:val="16"/>
          <w:color w:val="auto"/>
        </w:rPr>
      </w:pPr>
    </w:p>
    <w:p>
      <w:pPr>
        <w:ind w:left="340" w:right="480" w:hanging="332"/>
        <w:spacing w:after="0" w:line="25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9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9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Interest on the Green Bond is payable on January 30 and July 30 of each year beginning on January 30, 2021. As of September 30, 2020, we are in compliance with all covenants for the Green Bond.</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September 20, 2011, we issued 4.875% Senior Notes of $600 million aggregate principal amount due October 2021 (the "Senior Notes due 2021"). 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right="20"/>
        <w:spacing w:after="0" w:line="253"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on the Senior Notes due 2021 is payable on April 1 and October 1 of each year. Interest on the Senior Notes due 2023 is payable on March 11 of each year. Interest on the Senior Notes due 2026 and the Senior Notes due 2046 is payable on May 1 and November 1 of each year. As of September 30, 2020, we are in compliance with all covenants for the Senior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score.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Environmental, Social and Governance score).</w:t>
      </w:r>
    </w:p>
    <w:p>
      <w:pPr>
        <w:spacing w:after="0" w:line="10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(or maximum leverage ratio), which will be based on the last four fiscal quarters; and in addition contains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22, 2020, Xylem entered into Amendment No. 1 to the 2019 Credit Facility (the "Amendment") which modified the financial covenant from a test based on the maximum leverage ratio (defined as consolidated total debt to consolidated EBITDA) to a test based on the net leverage ratio (defined as consolidated total debt less unrestricted cash and cash equivalents to consolidated EBITDA). This modification is effective through the quarter ending September 30, 2021, after which the covenant will revert back to the prior maximum leverage ratio test. The Amendment also restricts stock repurchases until March 31, 2021, except for shares of common stock in an amount not to exceed the number of shares issued after the date of the Amendment, subject to customary exceptions. As of September 30, 2020, the 2019 Credit Facility was undrawn and we are in compliance with all revolver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September 30, 2020 and December 31, 2019, $40 million and $0 million of the U.S. Dollar commercial paper program was outstanding, respectively, at a weighted average interest rate of 2.20%. We have the ability to continue borrowing under this program going forward in future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3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$583 million) which may be denominated in a variety of currencies. The maximum issuing balance may be increased in accordance with the Dealer Agreement. As of September 30, 2020 and December 31, 2019, $0 million and $276 million of the Company's Euro commercial paper program was outstanding, respectively. We have the ability to continue borrowing under this program going forward in future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ING Bank Term Loan Facility</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April 25, 2020, the Company’s subsidiary, Xylem Europe GmbH (the “Borrower”) entered into a 12-month €100 million (approximately $117 million) term loan facility, the terms of which are set forth in a term loan agreement among the Borrower, the Company, as parent guarantor and ING Bank. The Company entered into a parent guarantee in favor of ING Bank also dated April 25, 2020 to secure all present and future obligations of the Borrower under the Term Loan Agreement. Borrowings accrue interest at a rate equal to the EURIBOR or a replacement base rate, plus an applicable margin based on Xylem's credit rating. Xylem will also pay quarterly fees whether such commitment is used or unused. As of September 30, 2020, the ING Bank Term Loan Facility was undrawn.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 &amp; New Zealand Banking Group Limited Term Loan Facility</w:t>
      </w:r>
    </w:p>
    <w:p>
      <w:pPr>
        <w:spacing w:after="0" w:line="1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On April 30, 2020, the Company entered into a 12-month $50 million term loan facility the terms of which are set forth in a term loan agreement among the Company and Australia and New Zealand Banking Group Limited. Borrowings accrue interest at a rate equal to an</w:t>
      </w:r>
    </w:p>
    <w:p>
      <w:pPr>
        <w:spacing w:after="0" w:line="2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adjusted LIBOR rate plus 1.50%. As of September 30, 2020, the Australia &amp; New Zealand Banking Group Limited Term Loan Facility was undrawn.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 Deposits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Certain Green Bond proceeds were invested in time deposits. Time deposits with original maturity periods of three months or less are included within “Cash and cash equivalents” on the Condensed Consolidated Balance Sheets, while time deposits with original maturity periods greater than three months but less than one year are separately presented as "Short-term investments". Time deposits are recorded at cost, which approximates fair value as of September 30, 2020 and is considered a Level 1 input. The fair value of time deposits classified as “Cash and cash equivalents” and “Short-term investments” was $550 million and $200 million, respectively, as of September 30, 2020. There were no time deposits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7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2019</w:t>
            </w: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200" w:type="dxa"/>
            <w:vAlign w:val="bottom"/>
          </w:tcPr>
          <w:p>
            <w:pPr>
              <w:ind w:left="3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Amortization of net actuarial loss</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periodic benefit cost</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200" w:type="dxa"/>
            <w:vAlign w:val="bottom"/>
          </w:tcPr>
          <w:p>
            <w:pPr>
              <w:ind w:left="3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200" w:type="dxa"/>
            <w:vAlign w:val="bottom"/>
          </w:tcPr>
          <w:p>
            <w:pPr>
              <w:ind w:left="340"/>
              <w:spacing w:after="0"/>
              <w:rPr>
                <w:sz w:val="20"/>
                <w:szCs w:val="20"/>
                <w:color w:val="auto"/>
              </w:rPr>
            </w:pPr>
            <w:r>
              <w:rPr>
                <w:rFonts w:ascii="Arial" w:cs="Arial" w:eastAsia="Arial" w:hAnsi="Arial"/>
                <w:sz w:val="18"/>
                <w:szCs w:val="18"/>
                <w:color w:val="auto"/>
              </w:rPr>
              <w:t>Amortization of net actuarial loss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Settlement/Curtailment</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net periodic benefit cost</w:t>
            </w: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net" in the Condensed Consolidated Income Statements.</w:t>
      </w:r>
    </w:p>
    <w:p>
      <w:pPr>
        <w:spacing w:after="0" w:line="9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total net periodic benefit cost for other postretirement employee benefit plans was less than $1 million for the three and nine months ended September 30, 2020, including net credits recognized into other comprehensive income of less than $1 million and $1 million, respectively, for the three and nine months ended September 30, 2020. The total net periodic benefit cost for other postretirement employee benefit plans was less than $ 1 million for both the three and nine months ended September 30, 2019, including net credits recognized into other comprehensive income of $1 million and $2 million, respectively, for the three and nine months ended September 30, 2019.</w:t>
      </w:r>
    </w:p>
    <w:p>
      <w:pPr>
        <w:spacing w:after="0" w:line="84"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We contributed $19 million and $14 million to our defined benefit plans during the nine months ended September 30, 2020 and 2019, respectively. Additional contributions ranging between approximately $5 million and $10 million are expected during the remainder of 2020.</w:t>
      </w:r>
    </w:p>
    <w:p>
      <w:pPr>
        <w:spacing w:after="0" w:line="6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first quarter of 2020, the Company purchased a bulk annuity policy with an insurance company for its largest defined benefit plan in the U.K., as a plan asset, to facilitate the termination and buy-out of the plan. The bulk annuity fully insures the benefits payable to the participants of the plan until a full buy-out of the plan can be executed, which is expected to occur in 2021. Included in the Company's nine months ended September 30, 2020 contributions is $5 million paid to meet the shortfall between the cost of the bulk annuity policy and the plan assets. As a result of the change in assets from a mix of equities and bonds to the bulk annuity, the plan's expected rate of return on assets was reduced to 1.00% at December 31, 2019. The rate at December 31, 2018 was 7.25%. On January 27, 2020, the plan's assets of $336 million were transferred to the insurance company for the purchase of the bulk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14.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nine months ended September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2,967</w:t>
            </w:r>
          </w:p>
        </w:tc>
        <w:tc>
          <w:tcPr>
            <w:tcW w:w="0" w:type="dxa"/>
            <w:vAlign w:val="bottom"/>
          </w:tcPr>
          <w:p>
            <w:pPr>
              <w:spacing w:after="0"/>
              <w:rPr>
                <w:sz w:val="1"/>
                <w:szCs w:val="1"/>
                <w:color w:val="auto"/>
              </w:rPr>
            </w:pPr>
          </w:p>
        </w:tc>
      </w:tr>
      <w:tr>
        <w:trPr>
          <w:trHeight w:val="188"/>
        </w:trPr>
        <w:tc>
          <w:tcPr>
            <w:tcW w:w="2660" w:type="dxa"/>
            <w:vAlign w:val="bottom"/>
          </w:tcPr>
          <w:p>
            <w:pPr>
              <w:ind w:left="120"/>
              <w:spacing w:after="0" w:line="189" w:lineRule="exact"/>
              <w:rPr>
                <w:sz w:val="20"/>
                <w:szCs w:val="20"/>
                <w:color w:val="auto"/>
              </w:rPr>
            </w:pPr>
            <w:r>
              <w:rPr>
                <w:rFonts w:ascii="Arial" w:cs="Arial" w:eastAsia="Arial" w:hAnsi="Arial"/>
                <w:sz w:val="18"/>
                <w:szCs w:val="18"/>
                <w:color w:val="auto"/>
              </w:rPr>
              <w:t>Cumulative effect of change in</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7"/>
        </w:trPr>
        <w:tc>
          <w:tcPr>
            <w:tcW w:w="2660" w:type="dxa"/>
            <w:vAlign w:val="bottom"/>
          </w:tcPr>
          <w:p>
            <w:pPr>
              <w:ind w:left="120"/>
              <w:spacing w:after="0"/>
              <w:rPr>
                <w:sz w:val="20"/>
                <w:szCs w:val="20"/>
                <w:color w:val="auto"/>
              </w:rPr>
            </w:pPr>
            <w:r>
              <w:rPr>
                <w:rFonts w:ascii="Arial" w:cs="Arial" w:eastAsia="Arial" w:hAnsi="Arial"/>
                <w:sz w:val="18"/>
                <w:szCs w:val="18"/>
                <w:color w:val="auto"/>
              </w:rPr>
              <w:t>accounting principle</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2,821</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188"/>
        </w:trPr>
        <w:tc>
          <w:tcPr>
            <w:tcW w:w="2660" w:type="dxa"/>
            <w:vAlign w:val="bottom"/>
          </w:tcPr>
          <w:p>
            <w:pPr>
              <w:ind w:left="120"/>
              <w:spacing w:after="0" w:line="189"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7"/>
        </w:trPr>
        <w:tc>
          <w:tcPr>
            <w:tcW w:w="2660" w:type="dxa"/>
            <w:vAlign w:val="bottom"/>
          </w:tcPr>
          <w:p>
            <w:pPr>
              <w:ind w:left="12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2,865</w:t>
            </w: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120"/>
              <w:spacing w:after="0" w:line="189" w:lineRule="exact"/>
              <w:rPr>
                <w:sz w:val="20"/>
                <w:szCs w:val="20"/>
                <w:color w:val="auto"/>
              </w:rPr>
            </w:pPr>
            <w:r>
              <w:rPr>
                <w:rFonts w:ascii="Arial" w:cs="Arial" w:eastAsia="Arial" w:hAnsi="Arial"/>
                <w:sz w:val="18"/>
                <w:szCs w:val="18"/>
                <w:color w:val="auto"/>
              </w:rPr>
              <w:t>Distribution to minority</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6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2660" w:type="dxa"/>
            <w:vAlign w:val="bottom"/>
          </w:tcPr>
          <w:p>
            <w:pPr>
              <w:ind w:left="120"/>
              <w:spacing w:after="0"/>
              <w:rPr>
                <w:sz w:val="20"/>
                <w:szCs w:val="20"/>
                <w:color w:val="auto"/>
              </w:rPr>
            </w:pPr>
            <w:r>
              <w:rPr>
                <w:rFonts w:ascii="Arial" w:cs="Arial" w:eastAsia="Arial" w:hAnsi="Arial"/>
                <w:sz w:val="18"/>
                <w:szCs w:val="18"/>
                <w:color w:val="auto"/>
              </w:rPr>
              <w:t>shareholders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155"/>
        </w:trPr>
        <w:tc>
          <w:tcPr>
            <w:tcW w:w="26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2,875</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shows the changes in stockholders' equity for the nine months ended September 30,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Arial" w:cs="Arial" w:eastAsia="Arial" w:hAnsi="Arial"/>
                <w:sz w:val="18"/>
                <w:szCs w:val="18"/>
                <w:color w:val="auto"/>
              </w:rPr>
              <w:t>Sale of business</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8"/>
        </w:trPr>
        <w:tc>
          <w:tcPr>
            <w:tcW w:w="2660" w:type="dxa"/>
            <w:vAlign w:val="bottom"/>
          </w:tcPr>
          <w:p>
            <w:pPr>
              <w:ind w:left="120"/>
              <w:spacing w:after="0" w:line="189"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tcPr>
          <w:p>
            <w:pPr>
              <w:ind w:left="12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($0.24 per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($0.24 per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8"/>
        </w:trPr>
        <w:tc>
          <w:tcPr>
            <w:tcW w:w="2660" w:type="dxa"/>
            <w:vAlign w:val="bottom"/>
          </w:tcPr>
          <w:p>
            <w:pPr>
              <w:ind w:left="120"/>
              <w:spacing w:after="0" w:line="189" w:lineRule="exact"/>
              <w:rPr>
                <w:sz w:val="20"/>
                <w:szCs w:val="20"/>
                <w:color w:val="auto"/>
              </w:rPr>
            </w:pPr>
            <w:r>
              <w:rPr>
                <w:rFonts w:ascii="Arial" w:cs="Arial" w:eastAsia="Arial" w:hAnsi="Arial"/>
                <w:sz w:val="18"/>
                <w:szCs w:val="18"/>
                <w:color w:val="auto"/>
              </w:rPr>
              <w:t>Distribution to minority</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tcPr>
          <w:p>
            <w:pPr>
              <w:ind w:left="120"/>
              <w:spacing w:after="0"/>
              <w:rPr>
                <w:sz w:val="20"/>
                <w:szCs w:val="20"/>
                <w:color w:val="auto"/>
              </w:rPr>
            </w:pPr>
            <w:r>
              <w:rPr>
                <w:rFonts w:ascii="Arial" w:cs="Arial" w:eastAsia="Arial" w:hAnsi="Arial"/>
                <w:sz w:val="18"/>
                <w:szCs w:val="18"/>
                <w:color w:val="auto"/>
              </w:rPr>
              <w:t>shareholders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($0.24 per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55"/>
        </w:trPr>
        <w:tc>
          <w:tcPr>
            <w:tcW w:w="26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Share-based compensation expense was $ 3 million and $19 million during the three and nine months ended September 30, 2020, respectively, and $7 million and $23 million during the three and nine months ended September 30, 2019, respectively. The unrecognized compensation expense related to our stock options, restricted stock units and performance share units was $7 million, $25 million and $10 million, respectively, at September 30, 2020 and is expected to be recognized over a weighted average period of 1.9, 1.9 and 2 years, respectively. The amount of cash received from the exercise of stock options was $10 million and $10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nine months ended September 30, 2020</w:t>
      </w:r>
      <w:r>
        <w:rPr>
          <w:rFonts w:ascii="Arial" w:cs="Arial" w:eastAsia="Arial" w:hAnsi="Arial"/>
          <w:sz w:val="16"/>
          <w:szCs w:val="16"/>
          <w:color w:val="auto"/>
        </w:rPr>
        <w:t>:</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0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Exercise</w:t>
            </w:r>
          </w:p>
        </w:tc>
        <w:tc>
          <w:tcPr>
            <w:tcW w:w="14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Contractual</w:t>
            </w:r>
          </w:p>
        </w:tc>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 / Share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5"/>
                <w:szCs w:val="15"/>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January 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0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Outstanding at September 30,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Options exercisable at September 30, 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Vested and expected to vest as of September 30,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nine months ended September 30, 2020 was $12.0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for 2020 grants: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7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480" w:type="dxa"/>
            <w:vAlign w:val="bottom"/>
          </w:tcPr>
          <w:p>
            <w:pPr>
              <w:ind w:left="120"/>
              <w:spacing w:after="0"/>
              <w:rPr>
                <w:sz w:val="20"/>
                <w:szCs w:val="20"/>
                <w:color w:val="auto"/>
              </w:rPr>
            </w:pPr>
            <w:r>
              <w:rPr>
                <w:rFonts w:ascii="Arial" w:cs="Arial" w:eastAsia="Arial" w:hAnsi="Arial"/>
                <w:sz w:val="18"/>
                <w:szCs w:val="18"/>
                <w:color w:val="auto"/>
              </w:rPr>
              <w:t>Risk-free interest rate</w:t>
            </w:r>
          </w:p>
        </w:tc>
        <w:tc>
          <w:tcPr>
            <w:tcW w:w="37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15.12</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yield</w:t>
            </w:r>
          </w:p>
        </w:tc>
        <w:tc>
          <w:tcPr>
            <w:tcW w:w="37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480" w:type="dxa"/>
            <w:vAlign w:val="bottom"/>
          </w:tcPr>
          <w:p>
            <w:pPr>
              <w:ind w:left="120"/>
              <w:spacing w:after="0"/>
              <w:rPr>
                <w:sz w:val="20"/>
                <w:szCs w:val="20"/>
                <w:color w:val="auto"/>
              </w:rPr>
            </w:pPr>
            <w:r>
              <w:rPr>
                <w:rFonts w:ascii="Arial" w:cs="Arial" w:eastAsia="Arial" w:hAnsi="Arial"/>
                <w:sz w:val="18"/>
                <w:szCs w:val="18"/>
                <w:color w:val="auto"/>
              </w:rPr>
              <w:t>Expected term (in years)</w:t>
            </w:r>
          </w:p>
        </w:tc>
        <w:tc>
          <w:tcPr>
            <w:tcW w:w="37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00" w:type="dxa"/>
            <w:vAlign w:val="bottom"/>
          </w:tcPr>
          <w:p>
            <w:pPr>
              <w:spacing w:after="0"/>
              <w:rPr>
                <w:sz w:val="19"/>
                <w:szCs w:val="19"/>
                <w:color w:val="auto"/>
              </w:rPr>
            </w:pPr>
          </w:p>
        </w:tc>
      </w:tr>
      <w:tr>
        <w:trPr>
          <w:trHeight w:val="230"/>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fair value / share</w:t>
            </w:r>
          </w:p>
        </w:tc>
        <w:tc>
          <w:tcPr>
            <w:tcW w:w="37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14.69</w:t>
            </w:r>
          </w:p>
        </w:tc>
        <w:tc>
          <w:tcPr>
            <w:tcW w:w="300" w:type="dxa"/>
            <w:vAlign w:val="bottom"/>
            <w:shd w:val="clear" w:color="auto" w:fill="CCEEFF"/>
          </w:tcPr>
          <w:p>
            <w:pPr>
              <w:spacing w:after="0"/>
              <w:rPr>
                <w:sz w:val="19"/>
                <w:szCs w:val="19"/>
                <w:color w:val="auto"/>
              </w:rPr>
            </w:pPr>
          </w:p>
        </w:tc>
      </w:tr>
    </w:tbl>
    <w:p>
      <w:pPr>
        <w:spacing w:after="0" w:line="107"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United States Treasury yield curve in effect at the time of option grant.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3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is a summary of restricted stock unit activity for the nine months ended September 30, 2020</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06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38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at January 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30"/>
        </w:trPr>
        <w:tc>
          <w:tcPr>
            <w:tcW w:w="8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Outstanding at September 30, 2020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ROIC Performance Share Unit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Return on Invested Capital ("ROIC") performance share unit grants for the nine months ended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The fair value of the ROIC performance share units is equal to the closing share price on the date of the grant: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 units</w:t>
            </w:r>
          </w:p>
        </w:tc>
        <w:tc>
          <w:tcPr>
            <w:tcW w:w="140" w:type="dxa"/>
            <w:vAlign w:val="bottom"/>
          </w:tcPr>
          <w:p>
            <w:pPr>
              <w:spacing w:after="0"/>
              <w:rPr>
                <w:sz w:val="11"/>
                <w:szCs w:val="11"/>
                <w:color w:val="auto"/>
              </w:rPr>
            </w:pPr>
          </w:p>
        </w:tc>
        <w:tc>
          <w:tcPr>
            <w:tcW w:w="134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15"/>
                <w:szCs w:val="15"/>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at January 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Outstanding at September 30,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is a summary of our Total Shareholder Return ("TSR") performance share unit grants for the nine months ended September 30,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 units</w:t>
            </w:r>
          </w:p>
        </w:tc>
        <w:tc>
          <w:tcPr>
            <w:tcW w:w="140" w:type="dxa"/>
            <w:vAlign w:val="bottom"/>
          </w:tcPr>
          <w:p>
            <w:pPr>
              <w:spacing w:after="0"/>
              <w:rPr>
                <w:sz w:val="11"/>
                <w:szCs w:val="11"/>
                <w:color w:val="auto"/>
              </w:rPr>
            </w:pPr>
          </w:p>
        </w:tc>
        <w:tc>
          <w:tcPr>
            <w:tcW w:w="132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at January 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Market Condition Achieved (a)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Vested</w:t>
            </w:r>
          </w:p>
        </w:tc>
        <w:tc>
          <w:tcPr>
            <w:tcW w:w="14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b w:val="1"/>
                <w:bCs w:val="1"/>
                <w:color w:val="auto"/>
              </w:rPr>
              <w:t>Outstanding at September 30,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200" w:firstLine="8"/>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2020 grants: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39"/>
        </w:trPr>
        <w:tc>
          <w:tcPr>
            <w:tcW w:w="6120" w:type="dxa"/>
            <w:vAlign w:val="bottom"/>
          </w:tcPr>
          <w:p>
            <w:pPr>
              <w:ind w:left="120"/>
              <w:spacing w:after="0"/>
              <w:rPr>
                <w:sz w:val="20"/>
                <w:szCs w:val="20"/>
                <w:color w:val="auto"/>
              </w:rPr>
            </w:pPr>
            <w:r>
              <w:rPr>
                <w:rFonts w:ascii="Arial" w:cs="Arial" w:eastAsia="Arial" w:hAnsi="Arial"/>
                <w:sz w:val="18"/>
                <w:szCs w:val="18"/>
                <w:color w:val="auto"/>
              </w:rPr>
              <w:t>Risk-free interest rate</w:t>
            </w:r>
          </w:p>
        </w:tc>
        <w:tc>
          <w:tcPr>
            <w:tcW w:w="46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For the three and nine months ended September 30, 2020, the Company repurchased less than 0.1 million shares of common stock for approximately $1 million and approximately 0.8 million shares of common stock for $61 million, respectively. For the three and nine months ended September 30, 2019, the Company repurchased less than 0.1 million shares of common stock for less than $1 million and approximately 0.5 million shares of common stock for $ 39 million, respectively. Repurchases include both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spacing w:after="0" w:line="25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the program for the three months ended September 30, 2020. For the nine months ended September 30, 2020, we repurchased approximately 0.7 million shares for $50 million. There were no shares repurchased under the program for the three months ended September 30, 2019. For the nine months ended September 30, 2019, we repurchased approximately 0.3 million shares for $25 million. There are up to $288 million in shares that may still be purchased under this plan as of September 30, 2020.</w:t>
      </w:r>
    </w:p>
    <w:p>
      <w:pPr>
        <w:spacing w:after="0" w:line="10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Aside from the aforementioned repurchase program, we repurchased less than 0.1 million shares and approximately 0.1 million shares for approximately $1 million and $11 million for the three and nine months ended September 30, 2020, respectively, in relation to settlement of employee tax withholding obligations due as a result of the vesting of restricted stock units. Likewise, we repurchased less than 0.1 million shares and approximately 0.2 million shares for less than $1 million and approximately $14 million for the three and nine months ended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9"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nine months ended September 30,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Amortization of prior service cost and net actuarial loss on</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20"/>
              <w:spacing w:after="0" w:line="176" w:lineRule="exact"/>
              <w:rPr>
                <w:sz w:val="20"/>
                <w:szCs w:val="20"/>
                <w:color w:val="auto"/>
              </w:rPr>
            </w:pPr>
            <w:r>
              <w:rPr>
                <w:rFonts w:ascii="Arial" w:cs="Arial" w:eastAsia="Arial" w:hAnsi="Arial"/>
                <w:sz w:val="18"/>
                <w:szCs w:val="18"/>
                <w:color w:val="auto"/>
              </w:rPr>
              <w:t>postretirement benefit plans into other non-operating income</w:t>
            </w:r>
          </w:p>
        </w:tc>
        <w:tc>
          <w:tcPr>
            <w:tcW w:w="200" w:type="dxa"/>
            <w:vAlign w:val="bottom"/>
          </w:tcPr>
          <w:p>
            <w:pPr>
              <w:spacing w:after="0"/>
              <w:rPr>
                <w:sz w:val="15"/>
                <w:szCs w:val="15"/>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0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items</w:t>
            </w:r>
          </w:p>
        </w:tc>
        <w:tc>
          <w:tcPr>
            <w:tcW w:w="2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0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revenue</w:t>
            </w:r>
          </w:p>
        </w:tc>
        <w:tc>
          <w:tcPr>
            <w:tcW w:w="2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0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cost of revenue</w:t>
            </w:r>
          </w:p>
        </w:tc>
        <w:tc>
          <w:tcPr>
            <w:tcW w:w="2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Amortization of prior service cost and net actuarial loss on</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20"/>
              <w:spacing w:after="0" w:line="176" w:lineRule="exact"/>
              <w:rPr>
                <w:sz w:val="20"/>
                <w:szCs w:val="20"/>
                <w:color w:val="auto"/>
              </w:rPr>
            </w:pPr>
            <w:r>
              <w:rPr>
                <w:rFonts w:ascii="Arial" w:cs="Arial" w:eastAsia="Arial" w:hAnsi="Arial"/>
                <w:sz w:val="18"/>
                <w:szCs w:val="18"/>
                <w:color w:val="auto"/>
              </w:rPr>
              <w:t>postretirement benefit plans into other non-operating income</w:t>
            </w:r>
          </w:p>
        </w:tc>
        <w:tc>
          <w:tcPr>
            <w:tcW w:w="200" w:type="dxa"/>
            <w:vAlign w:val="bottom"/>
          </w:tcPr>
          <w:p>
            <w:pPr>
              <w:spacing w:after="0"/>
              <w:rPr>
                <w:sz w:val="15"/>
                <w:szCs w:val="15"/>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0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items</w:t>
            </w:r>
          </w:p>
        </w:tc>
        <w:tc>
          <w:tcPr>
            <w:tcW w:w="2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Unrealized gain on derivative hedge agreements</w:t>
            </w: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benefit on unrealized gain on derivative hedge</w:t>
            </w:r>
          </w:p>
        </w:tc>
        <w:tc>
          <w:tcPr>
            <w:tcW w:w="20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w:t>
            </w:r>
          </w:p>
        </w:tc>
        <w:tc>
          <w:tcPr>
            <w:tcW w:w="2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0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revenue</w:t>
            </w:r>
          </w:p>
        </w:tc>
        <w:tc>
          <w:tcPr>
            <w:tcW w:w="2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0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cost of revenue</w:t>
            </w:r>
          </w:p>
        </w:tc>
        <w:tc>
          <w:tcPr>
            <w:tcW w:w="2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20"/>
              <w:spacing w:after="0" w:line="197" w:lineRule="exact"/>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prior service cost and net actuarial loss on</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postretirement benefit plans into other non-operating income</w:t>
            </w:r>
          </w:p>
        </w:tc>
        <w:tc>
          <w:tcPr>
            <w:tcW w:w="2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2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0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plan items</w:t>
            </w:r>
          </w:p>
        </w:tc>
        <w:tc>
          <w:tcPr>
            <w:tcW w:w="2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derivative hedge agreements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0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revenue</w:t>
            </w:r>
          </w:p>
        </w:tc>
        <w:tc>
          <w:tcPr>
            <w:tcW w:w="2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nine months ended September 30,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Amortization of prior service cost and net actuarial loss on</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20"/>
              <w:spacing w:after="0" w:line="176" w:lineRule="exact"/>
              <w:rPr>
                <w:sz w:val="20"/>
                <w:szCs w:val="20"/>
                <w:color w:val="auto"/>
              </w:rPr>
            </w:pPr>
            <w:r>
              <w:rPr>
                <w:rFonts w:ascii="Arial" w:cs="Arial" w:eastAsia="Arial" w:hAnsi="Arial"/>
                <w:sz w:val="18"/>
                <w:szCs w:val="18"/>
                <w:color w:val="auto"/>
              </w:rPr>
              <w:t>postretirement benefit plans into other non-operating income</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items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benefit on unrealized loss on derivative hedge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revenue</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cost of revenue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prior service cost and net actuarial loss on</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postretirement benefit plans into other non-operating income</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revenue</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cost of revenue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20"/>
              <w:spacing w:after="0" w:line="197" w:lineRule="exact"/>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postretirement benefit plans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Amortization of prior service cost and net actuarial loss on</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20"/>
              <w:spacing w:after="0" w:line="176" w:lineRule="exact"/>
              <w:rPr>
                <w:sz w:val="20"/>
                <w:szCs w:val="20"/>
                <w:color w:val="auto"/>
              </w:rPr>
            </w:pPr>
            <w:r>
              <w:rPr>
                <w:rFonts w:ascii="Arial" w:cs="Arial" w:eastAsia="Arial" w:hAnsi="Arial"/>
                <w:sz w:val="18"/>
                <w:szCs w:val="18"/>
                <w:color w:val="auto"/>
              </w:rPr>
              <w:t>postretirement benefit plans into other non-operating income</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Settlement charge released into other non-operating income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revenue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4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cost of revenue</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and personal injury, privacy, employment, labor and pension, government contract issues and commercial or contractual disputes.</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From time to time, claims may be asserted against Xylem alleging injury caused by any of our products resulting from asbestos exposure. We believe there are numerous legal defenses available for such claims and would defend ourselves vigorously. Pursuant to the Distribution Agreement among ITT Corporation (now ITT LLC), Exelis and Xylem, ITT Corporation (now ITT LLC) has an obligation to indemnify, defend and hold Xylem harmless for asbestos product liability matters, including settlements, judgments, and legal defense costs associated with all pending and future claims that may arise from past sales of ITT’s legacy products. We believe ITT Corporation (now ITT LLC) remains a substantial entity with sufficient financial resources to honor its obligations to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$3 million and $5 million as of September 30, 2020 and December 31, 2019, respectively, for these general legal matters.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part of our 2011 spin-off from our former parent, ITT Corporation (now ITT LLC), Exelis Inc. and Xylem will indemnify, defend and hold harmless each of the other parties with respect to such parties’ assumed or retained liabilities under the Distribution Agreement and breaches of the Distribution Agreement or related spin agreements. The former parent’s indemnification obligations include asserted and unasserted asbestos and silica liability claims that relate to the presence or alleged presence of asbestos or silica in products manufactured, repaired or sold prior to October 31, 2011, the Distribution Date, subject to limited exceptions with respect to certain employee claims, or in the structure or material of any building or facility, subject to exceptions with respect to employee claims relating to Xylem buildings or facilities. The indemnification associated with pending and future asbestos claims does not expire. Xylem has not recorded a liability for material matters for which we expect to be indemnified by the former parent or Exelis Inc. through the Distribution Agreement and we are not aware of any claims or other circumstances that would give rise to material payments from us under such indemnifications. On May 29, 2015, Harris Inc. acquired Exelis. As the parent of Exelis, Harris Inc. is responsible for Exelis’ indemnification obligations under the Distribution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 related requirements. As of September 30, 2020 and December 31, 2019, the amount of surety bonds, bank guarantees, insurance letters of credit and stand-by letters of credit was $378 million and $340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United States Environmental Protection Agency, and from similar state and foreign environmental agencies, that a number of sites formerly or currently owned and/or operated by Xylem or for which we are responsible under the Distribution Agreement,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97"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0" w:name="page31"/>
    <w:bookmarkEnd w:id="30"/>
    <w:p>
      <w:pPr>
        <w:ind w:right="180"/>
        <w:spacing w:after="0" w:line="254" w:lineRule="auto"/>
        <w:rPr>
          <w:sz w:val="20"/>
          <w:szCs w:val="20"/>
          <w:color w:val="auto"/>
        </w:rPr>
      </w:pPr>
      <w:r>
        <w:rPr>
          <w:rFonts w:ascii="Arial" w:cs="Arial" w:eastAsia="Arial" w:hAnsi="Arial"/>
          <w:sz w:val="18"/>
          <w:szCs w:val="18"/>
          <w:color w:val="auto"/>
        </w:rPr>
        <w:t>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$3 million and $3 million as of September 30, 2020 and December 31, 2019 for environmental matters.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39"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We warrant numerous products, the terms of which vary widely. In general, we warrant products against defect and specific non-performance. The table below provides the changes in our product warranty accrual: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23"/>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99"/>
              </w:rPr>
              <w:t>60</w:t>
            </w:r>
          </w:p>
        </w:tc>
      </w:tr>
      <w:tr>
        <w:trPr>
          <w:trHeight w:val="229"/>
        </w:trPr>
        <w:tc>
          <w:tcPr>
            <w:tcW w:w="8180" w:type="dxa"/>
            <w:vAlign w:val="bottom"/>
          </w:tcPr>
          <w:p>
            <w:pPr>
              <w:ind w:left="12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center"/>
              <w:ind w:left="674"/>
              <w:spacing w:after="0"/>
              <w:rPr>
                <w:sz w:val="20"/>
                <w:szCs w:val="20"/>
                <w:color w:val="auto"/>
              </w:rPr>
            </w:pPr>
            <w:r>
              <w:rPr>
                <w:rFonts w:ascii="Arial" w:cs="Arial" w:eastAsia="Arial" w:hAnsi="Arial"/>
                <w:sz w:val="18"/>
                <w:szCs w:val="18"/>
                <w:b w:val="1"/>
                <w:bCs w:val="1"/>
                <w:color w:val="auto"/>
                <w:w w:val="99"/>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center"/>
              <w:ind w:left="674"/>
              <w:spacing w:after="0"/>
              <w:rPr>
                <w:sz w:val="20"/>
                <w:szCs w:val="20"/>
                <w:color w:val="auto"/>
              </w:rPr>
            </w:pPr>
            <w:r>
              <w:rPr>
                <w:rFonts w:ascii="Arial" w:cs="Arial" w:eastAsia="Arial" w:hAnsi="Arial"/>
                <w:sz w:val="18"/>
                <w:szCs w:val="18"/>
                <w:color w:val="auto"/>
                <w:w w:val="99"/>
              </w:rPr>
              <w:t>20</w:t>
            </w:r>
          </w:p>
        </w:tc>
      </w:tr>
      <w:tr>
        <w:trPr>
          <w:trHeight w:val="230"/>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of warranty claims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99"/>
              </w:rPr>
              <w:t>(32)</w:t>
            </w:r>
          </w:p>
        </w:tc>
      </w:tr>
      <w:tr>
        <w:trPr>
          <w:trHeight w:val="223"/>
        </w:trPr>
        <w:tc>
          <w:tcPr>
            <w:tcW w:w="8180" w:type="dxa"/>
            <w:vAlign w:val="bottom"/>
          </w:tcPr>
          <w:p>
            <w:pPr>
              <w:ind w:left="120"/>
              <w:spacing w:after="0"/>
              <w:rPr>
                <w:sz w:val="20"/>
                <w:szCs w:val="20"/>
                <w:color w:val="auto"/>
              </w:rPr>
            </w:pPr>
            <w:r>
              <w:rPr>
                <w:rFonts w:ascii="Arial" w:cs="Arial" w:eastAsia="Arial" w:hAnsi="Arial"/>
                <w:sz w:val="18"/>
                <w:szCs w:val="18"/>
                <w:color w:val="auto"/>
              </w:rPr>
              <w:t>Warranty accrual - September 30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b w:val="1"/>
                <w:bCs w:val="1"/>
                <w:color w:val="auto"/>
                <w:w w:val="99"/>
              </w:rPr>
              <w:t>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color w:val="auto"/>
                <w:w w:val="99"/>
              </w:rPr>
              <w:t>46</w:t>
            </w:r>
          </w:p>
        </w:tc>
      </w:tr>
      <w:tr>
        <w:trPr>
          <w:trHeight w:val="21"/>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Our business has three reportable segments: Water Infrastructure, Applied Water and Measurement &amp; Control Solutions. When determining the reportable segments, the Company aggregated operating segments based on their similar economic and operating characteristics.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8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1" w:name="page32"/>
    <w:bookmarkEnd w:id="31"/>
    <w:p>
      <w:pPr>
        <w:ind w:right="240"/>
        <w:spacing w:after="0" w:line="261"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(see Note 1 in the 2019 Annual Report). The following tables contain financial information for each reportable segment: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26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Infrastructure</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Applied Water</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&amp; Control Solutions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3"/>
        </w:trPr>
        <w:tc>
          <w:tcPr>
            <w:tcW w:w="494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Water Infrastructure</w:t>
            </w:r>
          </w:p>
        </w:tc>
        <w:tc>
          <w:tcPr>
            <w:tcW w:w="960" w:type="dxa"/>
            <w:vAlign w:val="bottom"/>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19"/>
                <w:szCs w:val="19"/>
                <w:color w:val="auto"/>
              </w:rPr>
            </w:pP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Applied Water</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Measurement &amp; Control Solutions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940" w:type="dxa"/>
            <w:vAlign w:val="bottom"/>
          </w:tcPr>
          <w:p>
            <w:pPr>
              <w:ind w:left="340"/>
              <w:spacing w:after="0"/>
              <w:rPr>
                <w:sz w:val="20"/>
                <w:szCs w:val="20"/>
                <w:color w:val="auto"/>
              </w:rPr>
            </w:pPr>
            <w:r>
              <w:rPr>
                <w:rFonts w:ascii="Arial" w:cs="Arial" w:eastAsia="Arial" w:hAnsi="Arial"/>
                <w:sz w:val="18"/>
                <w:szCs w:val="18"/>
                <w:color w:val="auto"/>
              </w:rPr>
              <w:t>Total operating income</w:t>
            </w:r>
          </w:p>
        </w:tc>
        <w:tc>
          <w:tcPr>
            <w:tcW w:w="96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shd w:val="clear" w:color="auto" w:fill="CCEEFF"/>
          </w:tcPr>
          <w:p>
            <w:pPr>
              <w:ind w:left="120"/>
              <w:spacing w:after="0" w:line="197" w:lineRule="exact"/>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Other non-operating (expense) income, net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sale of business</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940" w:type="dxa"/>
            <w:vAlign w:val="bottom"/>
          </w:tcPr>
          <w:p>
            <w:pPr>
              <w:ind w:left="340"/>
              <w:spacing w:after="0"/>
              <w:rPr>
                <w:sz w:val="20"/>
                <w:szCs w:val="20"/>
                <w:color w:val="auto"/>
              </w:rPr>
            </w:pPr>
            <w:r>
              <w:rPr>
                <w:rFonts w:ascii="Arial" w:cs="Arial" w:eastAsia="Arial" w:hAnsi="Arial"/>
                <w:sz w:val="18"/>
                <w:szCs w:val="18"/>
                <w:color w:val="auto"/>
              </w:rPr>
              <w:t>Income (loss) before taxes</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Water Infrastructure</w:t>
            </w:r>
          </w:p>
        </w:tc>
        <w:tc>
          <w:tcPr>
            <w:tcW w:w="960" w:type="dxa"/>
            <w:vAlign w:val="bottom"/>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Applied Water</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Measurement &amp; Control Solutions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Regional selling locations (a)</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Infrastructure</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Applied Water</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&amp; Control Solutions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Regional selling locations (b)</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94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80" w:hanging="332"/>
        <w:spacing w:after="0" w:line="253"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93"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2" w:name="page33"/>
    <w:bookmarkEnd w:id="32"/>
    <w:p>
      <w:pPr>
        <w:ind w:left="1560" w:right="1620" w:hanging="1538"/>
        <w:spacing w:after="0"/>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9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54"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Report contains information that may constitute “forward-looking statements" within the meaning of the Private Securities Litigation Reform Act of 1995. Generally, the words “anticipate,” “estimate,” “expect,” “project,” “intend,” “plan,” "contemplate," "predict," “forecast,” “believe,” “target,” “will,” “could,” “would,” “should,” "potential," "may" and similar expressions may, but are not necessary to, identify forward-looking statements. By their nature, forward-looking statements address uncertain matters and include any statements that: are not historical, such as statements about the Company’s capitalization, restructuring and realignment plans, and future strategic plans; describe the Company’s business strategy, outlook, objectives, plans, intentions or goals; or address operating or financial performance, events or developments that we expect or anticipate will occur in the future - including statements relating to orders, revenues, operating margins and earnings per share growth, and expressing general views about future operating results. Forward-looking statements involve known and unknown risks, uncertainties and other important factors that could cause actual results to differ materially from those expressed or implied in, or reasonably inferred from, such statements. The novel coronavirus (“COVID-19”) pandemic is and may continue to amplify many of these risks and uncertainties.</w:t>
      </w:r>
    </w:p>
    <w:p>
      <w:pPr>
        <w:spacing w:after="0" w:line="84"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Factors that could cause results to differ materially from those anticipated include: overall economic and business conditions; the COVID-19 pandemic’s uncertain magnitude, duration, geographic reach and impact on the global economy; the current and future impact of the COVID-19 pandemic on our business, growth, projections, financial condition, operations, cash flows, and liquidity, including from adverse economic conditions on our performance or customer markets caused by the COVID-19 pandemic; actual or potential other epidemics, pandemics or global health crises; geopolitical and other risks associated with our international operations that could affect customer markets and our business, such as military actions, protectionism, economic sanctions or trade barriers, including tariffs and embargoes, and non-compliance with laws or regulations, including those pertaining to foreign corrupt practices, data privacy, export and import and competition; potential for unexpected cancellations or delays of customer orders in our reported backlog; fluctuations in foreign currency exchange rates; disruption, competition and pricing pressures in the markets we serve; industrial, governmental and private sector spending; the strength of housing and related markets; weather conditions; ability to retain and attract talent and key members of management; our relationship with and the performance of our supply chain, including channel partners; our ability to successfully identify, complete and integrate acquisitions; our ability to borrow or refinance our existing indebtedness; availability of liquidity sufficient to meet our needs; uncertainty from the expected discontinuance of LIBOR and transition to another interest rate benchmark; changes in the value of goodwill or intangible assets; uncertainty related to restructuring and realignment actions and related charges and savings, including with respect to the amount and timing of estimated costs and savings, the timing of or delays in implementing actions, and our ability to realize all of the anticipated cost savings, all of which are subject to change as the Company makes decisions and refines plans and estimates over time; management and employee distraction resulting from restructuring actions; timing delays in implementing strategic initiatives; our ability to continue strategic investments for growth; risks relating to products, including defects, security, liability and recalls; governmental or regulatory claims or investigations; cybersecurity attacks, breaches or other disruptions of information technology systems on which we rely, or on our products; our sustainability initiatives; the use of proceeds from our green bond offering, including failure to appropriately allocate the net proceeds or meet the investment requirements of certain environmentally-focused investors; litigation and contingent liabilities; and other factors set forth under “Item 1A. Risk Factors” in our 2019 Annual Report, "Item 1A. Risk Factors" in the Company's Quarterly Report on Form 10-Q for the quarter ended March 31, 2020 and in subsequent filings we have made or may make with the SEC.</w:t>
      </w:r>
    </w:p>
    <w:p>
      <w:pPr>
        <w:spacing w:after="0" w:line="97"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All forward-looking statements made herein are based on information currently available to the Company as of the date of this Report. The Company undertakes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82" w:lineRule="exact"/>
        <w:rPr>
          <w:sz w:val="20"/>
          <w:szCs w:val="20"/>
          <w:color w:val="auto"/>
        </w:rPr>
      </w:pPr>
    </w:p>
    <w:p>
      <w:pPr>
        <w:ind w:left="660" w:right="4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9"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We also offer smart lighting solutions that improve efficiency and public safety efforts across communities.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3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global spread of COVID-19 has curtailed the movement of people, goods and services worldwide, including in many of the regions where we sell our products and services and conduct operations.</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section summarizes the most significant impacts related to the COVID-19 pandemic that we have experienced to date, and we have included additional details as applicable throughout other sections of this Report. Many of these impacts did not begin to be felt broadly across our businesses until the latter part of the first quarter of 2020 and have continued through the third quarter. As the COVID-19 pandemic began to unfold in the first quarter of 2020, Xylem deployed a COVID-19 Response Team, responsible for Xylem's Pandemic Plan, which is designed to aid in prevention, preparedness, response and recovery at our sites and across the Company.</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Depending on the severity, magnitude and duration of the COVID-19 pandemic and its economic consequences, we anticipate that it will become more difficult to distinguish specific aspects of our operational and financial performance that are most directly related to COVID-19 from those that are more broadly influenced by ongoing macroeconomic, market and industry dynamics that are, to varying degrees, related to the COVID-19 pandemic and its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spacing w:after="0" w:line="252" w:lineRule="auto"/>
        <w:rPr>
          <w:sz w:val="20"/>
          <w:szCs w:val="20"/>
          <w:color w:val="auto"/>
        </w:rPr>
      </w:pPr>
      <w:r>
        <w:rPr>
          <w:rFonts w:ascii="Arial" w:cs="Arial" w:eastAsia="Arial" w:hAnsi="Arial"/>
          <w:sz w:val="18"/>
          <w:szCs w:val="18"/>
          <w:color w:val="auto"/>
        </w:rPr>
        <w:t>Public health officials have recommended, or governments have mandated, precautions to mitigate the spread of COVID-19, including stay at home or similar measures, such as travel restrictions, for periods of time in many of the areas in which we operate. Operationally, our production facilities located in Latin America, Europe and Asia Pacific experienced reduced production levels due to such measures to varying degrees during the year, particularly during the first and second quarter. Currently, our overall operating capacity remains just over 90% globally, with all of our production facilities operational. In order to maintain a safe work environment, our production facilities continue to spread out operations over multiple shifts and implement other protective measures such as temperature screening and social distancing, while maintaining operational capabilities.</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COVID-19 pandemic is also adversely affecting, and is expected to continue to adversely affect, our operations, supply chains and businesses. While we expect, from time to time, to experience unpredictable interruptions with our external suppliers, we have enhanced our supplier pulsing and redundancy to minimize those impacts.</w:t>
      </w:r>
    </w:p>
    <w:p>
      <w:pPr>
        <w:spacing w:after="0" w:line="9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To date, the most significant operational impacts we have experienced are volume reductions ranging across all segments and major geographic regions.</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Future demand for our products and services is uncertain as the COVID -19 pandemic has also had an adverse impact on many of the customers we serve. As such, we have and may continue to experience decreased or delayed demand for our products and services, as well as changes in the payment patterns of our customers. At the end of the third quarter, total backlog increased 21.7% as compared to December 31, 2019 and there has not been a notable increase in contract cancellations to date. In many cases, Xylem’s products and services are considered "essential services" under various governmental mandates, and as a result we did not experience significant issues in our ability to distribute products or services, aside from customer-driven project delays, inability to access or travel to customer sites and shipping delays due to stay at home measures. However, because the severity, magnitude and duration of the COVID-19 pandemic and its economic consequences are uncertain and rapidly changing, the pandemic’s ongoing and future impacts on our business, financial condition, results of operations, and stock price remain uncertain and difficult to predict, but we expect our results to continue to be adversely impacted beyond the quarter ending September 30, 2020.</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management committed to restructuring activities across our businesses and functions globally during the second quarter of 2020. These initiatives are designed to support our long-term financial resilience and simplify our operations, strengthen our competitive positioning and better serve our customers. In light of the uncertainty created by the COVID-19 pandemic, we have also proactively taken further cost reduction actions which include a temporary 20% reduction in the base salary of the Company's Chief Executive Officer ("CEO") and all direct reports to the CEO and a temporary 20% reduction in annual cash retainer fees payable to our Board of Directors. These temporary reductions are effective from June 1, 2020 through December 31, 2020. Additionally, we have committed to reduced capital expenditure and discretionary operating spending during the year.</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Xylem has taken measures to protect the health and safety of our employees and work with our customers to minimize potential disruptions. In the first quarter, we implemented a support pay program for employees impacted by COVID-19, and an essential services premium pay program for the benefit of employees whose roles are classified as an “essential service” and, as such, are required to work either onsite at a Xylem facility or in the field supporting customers during periods of mandated stay at home or similar measures. These programs will remain in place through the end of 2020 and continue to be evaluated for continuation as necessary going forward. Xylem Watermark, our corporate social responsibility program, is also supporting our communities in addressing the challenges posed by this global pandemic through its partnership with Americares and UNICEF, as well as the expansion of the Partner Community Grants program and other philanthropic commitments.</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Many of our offices globally have transitioned to a substantially remote work from home status, with no material disruption to operations, financial reporting systems, internal control over financial reporting or disclosure controls and procedures. As public health officials and governments ease recommendations and regulations regarding stay at home measures, our COVID-19 Response Team is applying a set of Xylem "Return to Workplace" health and safety guidelines for remote workers to return to our facilities. These guidelines require government officials to first declare an easing of their restrictions, upon which we do a full review of our site to determine its readiness and follow a phased return to work approach, all in service to help ensure the safety of our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5" w:name="page36"/>
    <w:bookmarkEnd w:id="35"/>
    <w:p>
      <w:pPr>
        <w:jc w:val="both"/>
        <w:ind w:right="60"/>
        <w:spacing w:after="0" w:line="256" w:lineRule="auto"/>
        <w:rPr>
          <w:sz w:val="20"/>
          <w:szCs w:val="20"/>
          <w:color w:val="auto"/>
        </w:rPr>
      </w:pPr>
      <w:r>
        <w:rPr>
          <w:rFonts w:ascii="Arial" w:cs="Arial" w:eastAsia="Arial" w:hAnsi="Arial"/>
          <w:sz w:val="18"/>
          <w:szCs w:val="18"/>
          <w:color w:val="auto"/>
        </w:rPr>
        <w:t>We will continue to work with our customers, employees, suppliers and communities to address the impacts of COVID-19. We also continue to assess the evolving nature of the pandemic and its possible implications to our business, supply chain and customers, and to take actions in an effort to mitigate adverse consequences.</w:t>
      </w:r>
    </w:p>
    <w:p>
      <w:pPr>
        <w:spacing w:after="0" w:line="9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Risk related to the impact of COVID-19 are described in further detail under "Item 1A. Risk Factors" in the Company's Quarterly Report on Form 10-Q for the quarter ended March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Xylem reported revenue for the third quarter of 2020 of $1,220 million, a decrease of 5.9% compared to $1,296 million reported in the third quarter of 2019. On a constant currency basis, revenue decreased by $85 million, or 6.6%, driven entirely by organic declines across all segments, with the majority of the decline coming from the industrial and utility end markets. Organic revenue decline during the quarter was anticipated as our business continues to be impacted by the COVID-19 pandemic.</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generated operating income of $73 million (margin of 6.0%) during the third quarter of 2020, as compared to $11 million (margin of 0.8%) in 2019. Operating income in the third quarter of 2020 benefited from decreases in special charges of $85 million and decreases in restructuring and realignment costs of $15 million as compared to the third quarter of 2019. Excluding the impact of these items, adjusted operating income was $158 million (adjusted margin of 13.0%) during the third quarter of 2020 as compared to $196 million (adjusted margin of 15.1%) in 2019. The decrease in adjusted operating margin was primarily due to cost inflation; unfavorable volume, impacted significantly by COVID-19; unfavorable mix; increased spending on strategic investments and increased inventory management costs. These impacts were partially offset by cost reductions from our productivity, restructuring and other cost saving initiatives.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September 30, 2020 include the following:</w:t>
      </w:r>
    </w:p>
    <w:p>
      <w:pPr>
        <w:spacing w:after="0" w:line="117" w:lineRule="exact"/>
        <w:rPr>
          <w:sz w:val="20"/>
          <w:szCs w:val="20"/>
          <w:color w:val="auto"/>
        </w:rPr>
      </w:pPr>
    </w:p>
    <w:p>
      <w:pPr>
        <w:ind w:left="340" w:right="14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Orders of $1,246 million, down 7.4% from $1,346 million in the prior year, and down 8.2% on an organic basis, impacted by the COVID-19 pandemic.</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 of $0.20, down 44.4% when compared to the prior year ($0.62, down 24.4% on an adjusted basis).</w:t>
      </w:r>
    </w:p>
    <w:p>
      <w:pPr>
        <w:spacing w:after="0" w:line="117"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cash flow provided by operating activities of $454 million for the nine months ended September 30, 2020, up $3 million from the prior year. Free cash flow of $318 million, up $42 million from the prior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to represent the non-GAAP measures we consider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102" w:lineRule="exact"/>
        <w:rPr>
          <w:sz w:val="20"/>
          <w:szCs w:val="20"/>
          <w:color w:val="auto"/>
        </w:rPr>
      </w:pPr>
    </w:p>
    <w:p>
      <w:pPr>
        <w:ind w:left="660" w:right="260" w:hanging="328"/>
        <w:spacing w:after="0" w:line="25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6" w:name="page37"/>
    <w:bookmarkEnd w:id="36"/>
    <w:p>
      <w:pPr>
        <w:ind w:left="328" w:right="500"/>
        <w:spacing w:after="0" w:line="261" w:lineRule="auto"/>
        <w:rPr>
          <w:sz w:val="20"/>
          <w:szCs w:val="20"/>
          <w:color w:val="auto"/>
        </w:rPr>
      </w:pPr>
      <w:r>
        <w:rPr>
          <w:rFonts w:ascii="Arial" w:cs="Arial" w:eastAsia="Arial" w:hAnsi="Arial"/>
          <w:sz w:val="18"/>
          <w:szCs w:val="18"/>
          <w:color w:val="auto"/>
        </w:rPr>
        <w:t>translating current period and prior period activity using the same currency conversion rate. This approach is used for countries whose functional currency is not the U.S. dollar.</w:t>
      </w:r>
    </w:p>
    <w:p>
      <w:pPr>
        <w:spacing w:after="0" w:line="90" w:lineRule="exact"/>
        <w:rPr>
          <w:sz w:val="20"/>
          <w:szCs w:val="20"/>
          <w:color w:val="auto"/>
        </w:rPr>
      </w:pPr>
    </w:p>
    <w:p>
      <w:pPr>
        <w:ind w:left="328" w:right="160" w:hanging="328"/>
        <w:spacing w:after="0" w:line="256"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122" w:lineRule="exact"/>
        <w:rPr>
          <w:sz w:val="20"/>
          <w:szCs w:val="20"/>
          <w:color w:val="auto"/>
        </w:rPr>
      </w:pPr>
    </w:p>
    <w:tbl>
      <w:tblPr>
        <w:tblLayout w:type="fixed"/>
        <w:tblInd w:w="328"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2019</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 &amp;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1.56</w:t>
            </w:r>
          </w:p>
        </w:tc>
        <w:tc>
          <w:tcPr>
            <w:tcW w:w="0" w:type="dxa"/>
            <w:vAlign w:val="bottom"/>
          </w:tcPr>
          <w:p>
            <w:pPr>
              <w:spacing w:after="0"/>
              <w:rPr>
                <w:sz w:val="1"/>
                <w:szCs w:val="1"/>
                <w:color w:val="auto"/>
              </w:rPr>
            </w:pPr>
          </w:p>
        </w:tc>
      </w:tr>
      <w:tr>
        <w:trPr>
          <w:trHeight w:val="188"/>
        </w:trPr>
        <w:tc>
          <w:tcPr>
            <w:tcW w:w="3980" w:type="dxa"/>
            <w:vAlign w:val="bottom"/>
          </w:tcPr>
          <w:p>
            <w:pPr>
              <w:ind w:left="120"/>
              <w:spacing w:after="0" w:line="189" w:lineRule="exact"/>
              <w:rPr>
                <w:sz w:val="20"/>
                <w:szCs w:val="20"/>
                <w:color w:val="auto"/>
              </w:rPr>
            </w:pPr>
            <w:r>
              <w:rPr>
                <w:rFonts w:ascii="Arial" w:cs="Arial" w:eastAsia="Arial" w:hAnsi="Arial"/>
                <w:sz w:val="18"/>
                <w:szCs w:val="18"/>
                <w:color w:val="auto"/>
              </w:rPr>
              <w:t>Restructuring and realignment, net of tax of $3</w:t>
            </w:r>
          </w:p>
        </w:tc>
        <w:tc>
          <w:tcPr>
            <w:tcW w:w="2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80" w:type="dxa"/>
            <w:vAlign w:val="bottom"/>
          </w:tcPr>
          <w:p>
            <w:pPr>
              <w:ind w:left="120"/>
              <w:spacing w:after="0"/>
              <w:rPr>
                <w:sz w:val="20"/>
                <w:szCs w:val="20"/>
                <w:color w:val="auto"/>
              </w:rPr>
            </w:pPr>
            <w:r>
              <w:rPr>
                <w:rFonts w:ascii="Arial" w:cs="Arial" w:eastAsia="Arial" w:hAnsi="Arial"/>
                <w:sz w:val="18"/>
                <w:szCs w:val="18"/>
                <w:color w:val="auto"/>
              </w:rPr>
              <w:t>and $15 for 2020 and $9 and $17 for 2019</w:t>
            </w:r>
          </w:p>
        </w:tc>
        <w:tc>
          <w:tcPr>
            <w:tcW w:w="2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6"/>
              </w:rPr>
              <w:t>0.30</w:t>
            </w:r>
          </w:p>
        </w:tc>
        <w:tc>
          <w:tcPr>
            <w:tcW w:w="0" w:type="dxa"/>
            <w:vAlign w:val="bottom"/>
          </w:tcPr>
          <w:p>
            <w:pPr>
              <w:spacing w:after="0"/>
              <w:rPr>
                <w:sz w:val="1"/>
                <w:szCs w:val="1"/>
                <w:color w:val="auto"/>
              </w:rPr>
            </w:pPr>
          </w:p>
        </w:tc>
      </w:tr>
      <w:tr>
        <w:trPr>
          <w:trHeight w:val="188"/>
        </w:trPr>
        <w:tc>
          <w:tcPr>
            <w:tcW w:w="39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Special charges, net of tax of $6 and $9 for</w:t>
            </w:r>
          </w:p>
        </w:tc>
        <w:tc>
          <w:tcPr>
            <w:tcW w:w="24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2020 and $2 and $2 for 2019</w:t>
            </w:r>
          </w:p>
        </w:tc>
        <w:tc>
          <w:tcPr>
            <w:tcW w:w="24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0.93</w:t>
            </w:r>
          </w:p>
        </w:tc>
        <w:tc>
          <w:tcPr>
            <w:tcW w:w="0" w:type="dxa"/>
            <w:vAlign w:val="bottom"/>
          </w:tcPr>
          <w:p>
            <w:pPr>
              <w:spacing w:after="0"/>
              <w:rPr>
                <w:sz w:val="1"/>
                <w:szCs w:val="1"/>
                <w:color w:val="auto"/>
              </w:rPr>
            </w:pPr>
          </w:p>
        </w:tc>
      </w:tr>
      <w:tr>
        <w:trPr>
          <w:trHeight w:val="229"/>
        </w:trPr>
        <w:tc>
          <w:tcPr>
            <w:tcW w:w="3980" w:type="dxa"/>
            <w:vAlign w:val="bottom"/>
          </w:tcPr>
          <w:p>
            <w:pPr>
              <w:ind w:left="120"/>
              <w:spacing w:after="0"/>
              <w:rPr>
                <w:sz w:val="20"/>
                <w:szCs w:val="20"/>
                <w:color w:val="auto"/>
              </w:rPr>
            </w:pPr>
            <w:r>
              <w:rPr>
                <w:rFonts w:ascii="Arial" w:cs="Arial" w:eastAsia="Arial" w:hAnsi="Arial"/>
                <w:sz w:val="18"/>
                <w:szCs w:val="18"/>
                <w:color w:val="auto"/>
              </w:rPr>
              <w:t>Tax-related special items</w:t>
            </w:r>
          </w:p>
        </w:tc>
        <w:tc>
          <w:tcPr>
            <w:tcW w:w="2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88"/>
        </w:trPr>
        <w:tc>
          <w:tcPr>
            <w:tcW w:w="39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Gain from sale of business, net of tax of $0 for</w:t>
            </w:r>
          </w:p>
        </w:tc>
        <w:tc>
          <w:tcPr>
            <w:tcW w:w="2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56"/>
        </w:trPr>
        <w:tc>
          <w:tcPr>
            <w:tcW w:w="3980" w:type="dxa"/>
            <w:vAlign w:val="bottom"/>
          </w:tcPr>
          <w:p>
            <w:pPr>
              <w:ind w:left="120"/>
              <w:spacing w:after="0" w:line="156" w:lineRule="exact"/>
              <w:rPr>
                <w:sz w:val="20"/>
                <w:szCs w:val="20"/>
                <w:color w:val="auto"/>
              </w:rPr>
            </w:pPr>
            <w:r>
              <w:rPr>
                <w:rFonts w:ascii="Arial" w:cs="Arial" w:eastAsia="Arial" w:hAnsi="Arial"/>
                <w:sz w:val="18"/>
                <w:szCs w:val="18"/>
                <w:b w:val="1"/>
                <w:bCs w:val="1"/>
                <w:color w:val="auto"/>
              </w:rPr>
              <w:t>Adjusted net income &amp; Adjusted earnings</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229</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2.13</w:t>
            </w:r>
          </w:p>
        </w:tc>
        <w:tc>
          <w:tcPr>
            <w:tcW w:w="0" w:type="dxa"/>
            <w:vAlign w:val="bottom"/>
          </w:tcPr>
          <w:p>
            <w:pPr>
              <w:spacing w:after="0"/>
              <w:rPr>
                <w:sz w:val="1"/>
                <w:szCs w:val="1"/>
                <w:color w:val="auto"/>
              </w:rPr>
            </w:pPr>
          </w:p>
        </w:tc>
      </w:tr>
      <w:tr>
        <w:trPr>
          <w:trHeight w:val="208"/>
        </w:trPr>
        <w:tc>
          <w:tcPr>
            <w:tcW w:w="39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per share</w:t>
            </w:r>
          </w:p>
        </w:tc>
        <w:tc>
          <w:tcPr>
            <w:tcW w:w="2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28" w:right="24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restructuring and realignment costs and special charges.</w:t>
      </w:r>
    </w:p>
    <w:p>
      <w:pPr>
        <w:spacing w:after="0" w:line="89" w:lineRule="exact"/>
        <w:rPr>
          <w:rFonts w:ascii="Arial" w:cs="Arial" w:eastAsia="Arial" w:hAnsi="Arial"/>
          <w:sz w:val="18"/>
          <w:szCs w:val="18"/>
          <w:color w:val="auto"/>
        </w:rPr>
      </w:pPr>
    </w:p>
    <w:p>
      <w:pPr>
        <w:ind w:left="328" w:right="56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89" w:lineRule="exact"/>
        <w:rPr>
          <w:rFonts w:ascii="Arial" w:cs="Arial" w:eastAsia="Arial" w:hAnsi="Arial"/>
          <w:sz w:val="18"/>
          <w:szCs w:val="18"/>
          <w:color w:val="auto"/>
        </w:rPr>
      </w:pPr>
    </w:p>
    <w:p>
      <w:pPr>
        <w:ind w:left="328" w:right="36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89" w:lineRule="exact"/>
        <w:rPr>
          <w:rFonts w:ascii="Arial" w:cs="Arial" w:eastAsia="Arial" w:hAnsi="Arial"/>
          <w:sz w:val="18"/>
          <w:szCs w:val="18"/>
          <w:color w:val="auto"/>
        </w:rPr>
      </w:pPr>
    </w:p>
    <w:p>
      <w:pPr>
        <w:ind w:left="328" w:right="10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pension costs.</w:t>
      </w:r>
    </w:p>
    <w:p>
      <w:pPr>
        <w:spacing w:after="0" w:line="89" w:lineRule="exact"/>
        <w:rPr>
          <w:rFonts w:ascii="Arial" w:cs="Arial" w:eastAsia="Arial" w:hAnsi="Arial"/>
          <w:sz w:val="18"/>
          <w:szCs w:val="18"/>
          <w:color w:val="auto"/>
        </w:rPr>
      </w:pPr>
    </w:p>
    <w:p>
      <w:pPr>
        <w:ind w:left="328" w:right="52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103" w:lineRule="exact"/>
        <w:rPr>
          <w:rFonts w:ascii="Arial" w:cs="Arial" w:eastAsia="Arial" w:hAnsi="Arial"/>
          <w:sz w:val="18"/>
          <w:szCs w:val="18"/>
          <w:color w:val="auto"/>
        </w:rPr>
      </w:pPr>
    </w:p>
    <w:p>
      <w:pPr>
        <w:ind w:left="328" w:right="120" w:hanging="328"/>
        <w:spacing w:after="0" w:line="242" w:lineRule="auto"/>
        <w:tabs>
          <w:tab w:leader="none" w:pos="316" w:val="left"/>
        </w:tabs>
        <w:numPr>
          <w:ilvl w:val="0"/>
          <w:numId w:val="12"/>
        </w:numPr>
        <w:rPr>
          <w:rFonts w:ascii="Arial" w:cs="Arial" w:eastAsia="Arial" w:hAnsi="Arial"/>
          <w:sz w:val="20"/>
          <w:szCs w:val="20"/>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35" w:lineRule="exact"/>
        <w:rPr>
          <w:sz w:val="20"/>
          <w:szCs w:val="20"/>
          <w:color w:val="auto"/>
        </w:rPr>
      </w:pPr>
    </w:p>
    <w:tbl>
      <w:tblPr>
        <w:tblLayout w:type="fixed"/>
        <w:tblInd w:w="328"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center"/>
              <w:ind w:left="517"/>
              <w:spacing w:after="0"/>
              <w:rPr>
                <w:sz w:val="20"/>
                <w:szCs w:val="20"/>
                <w:color w:val="auto"/>
              </w:rPr>
            </w:pPr>
            <w:r>
              <w:rPr>
                <w:rFonts w:ascii="Arial" w:cs="Arial" w:eastAsia="Arial" w:hAnsi="Arial"/>
                <w:sz w:val="18"/>
                <w:szCs w:val="18"/>
                <w:b w:val="1"/>
                <w:bCs w:val="1"/>
                <w:color w:val="auto"/>
                <w:w w:val="99"/>
              </w:rPr>
              <w:t>454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b w:val="1"/>
                <w:bCs w:val="1"/>
                <w:color w:val="auto"/>
                <w:w w:val="99"/>
              </w:rPr>
              <w:t>(136)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b w:val="1"/>
                <w:bCs w:val="1"/>
                <w:color w:val="auto"/>
                <w:w w:val="99"/>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b w:val="1"/>
                <w:bCs w:val="1"/>
                <w:color w:val="auto"/>
              </w:rPr>
              <w:t>Net cash used by investing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vMerge w:val="continue"/>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center"/>
              <w:ind w:left="517"/>
              <w:spacing w:after="0" w:line="203" w:lineRule="exact"/>
              <w:rPr>
                <w:sz w:val="20"/>
                <w:szCs w:val="20"/>
                <w:color w:val="auto"/>
              </w:rPr>
            </w:pPr>
            <w:r>
              <w:rPr>
                <w:rFonts w:ascii="Arial" w:cs="Arial" w:eastAsia="Arial" w:hAnsi="Arial"/>
                <w:sz w:val="18"/>
                <w:szCs w:val="18"/>
                <w:b w:val="1"/>
                <w:bCs w:val="1"/>
                <w:color w:val="auto"/>
                <w:w w:val="99"/>
              </w:rPr>
              <w:t>(326)</w:t>
            </w:r>
          </w:p>
        </w:tc>
        <w:tc>
          <w:tcPr>
            <w:tcW w:w="100" w:type="dxa"/>
            <w:vAlign w:val="bottom"/>
          </w:tcPr>
          <w:p>
            <w:pPr>
              <w:spacing w:after="0"/>
              <w:rPr>
                <w:sz w:val="17"/>
                <w:szCs w:val="17"/>
                <w:color w:val="auto"/>
              </w:rPr>
            </w:pPr>
          </w:p>
        </w:tc>
        <w:tc>
          <w:tcPr>
            <w:tcW w:w="500" w:type="dxa"/>
            <w:vAlign w:val="bottom"/>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center"/>
              <w:ind w:left="517"/>
              <w:spacing w:after="0"/>
              <w:rPr>
                <w:sz w:val="20"/>
                <w:szCs w:val="20"/>
                <w:color w:val="auto"/>
              </w:rPr>
            </w:pPr>
            <w:r>
              <w:rPr>
                <w:rFonts w:ascii="Arial" w:cs="Arial" w:eastAsia="Arial" w:hAnsi="Arial"/>
                <w:sz w:val="18"/>
                <w:szCs w:val="18"/>
                <w:b w:val="1"/>
                <w:bCs w:val="1"/>
                <w:color w:val="auto"/>
                <w:w w:val="99"/>
              </w:rPr>
              <w:t>550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70485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9" w:right="339" w:bottom="1440" w:gutter="0" w:footer="0" w:header="0"/>
        </w:sectPr>
      </w:pPr>
    </w:p>
    <w:bookmarkStart w:id="37" w:name="page38"/>
    <w:bookmarkEnd w:id="37"/>
    <w:p>
      <w:pPr>
        <w:ind w:left="660" w:right="2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and "Adjusted EBITDA" reflects the adjustment to EBITDA to exclude share-based compensation charges, restructuring and realignment costs, special charges and gain or loss from sale of businesses.</w:t>
      </w:r>
    </w:p>
    <w:p>
      <w:pPr>
        <w:spacing w:after="0" w:line="122"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226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2019</w:t>
            </w:r>
          </w:p>
        </w:tc>
      </w:tr>
      <w:tr>
        <w:trPr>
          <w:trHeight w:val="223"/>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(income), net</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5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EBITDA</w:t>
            </w: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Restructuring and realignment</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Gain from sale of business</w:t>
            </w:r>
          </w:p>
        </w:tc>
        <w:tc>
          <w:tcPr>
            <w:tcW w:w="80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5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Adjusted EBITDA</w:t>
            </w:r>
          </w:p>
        </w:tc>
        <w:tc>
          <w:tcPr>
            <w:tcW w:w="80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Outlook</w:t>
      </w:r>
    </w:p>
    <w:p>
      <w:pPr>
        <w:spacing w:after="0" w:line="1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withdrew 2020 guidance on March 31, 2020 due to uncertainties caused by COVID-19. We expect revenue to be down 5% to 7% in the fourth quarter, 6% to 8% organically, driven primarily by the impact of COVID-19.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outlook by each of our end markets:</w:t>
      </w:r>
    </w:p>
    <w:p>
      <w:pPr>
        <w:spacing w:after="0" w:line="117" w:lineRule="exact"/>
        <w:rPr>
          <w:sz w:val="20"/>
          <w:szCs w:val="20"/>
          <w:color w:val="auto"/>
        </w:rPr>
      </w:pPr>
    </w:p>
    <w:p>
      <w:pPr>
        <w:ind w:left="660" w:hanging="328"/>
        <w:spacing w:after="0" w:line="25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Utilities revenue decreased by approximately 7% organically through the third quarter driven by weakness in the United States, the Middle East and Asia Pacific, partially offset by strength in Europe. During 2020 we expect continued resilience on the wastewater side as essential operational spending continues and capital project funding for the year has been secured. However, the clean water utilities will continue to face workforce challenges from impacts of COVID-19 on the way in which they need to operate. We are seeing delays in project deployments, but expect to start to see modest recovery as physical distancing requirements ease. We continue to gain momentum behind key multi-year wins setting up healthy longer term growth.</w:t>
      </w:r>
    </w:p>
    <w:p>
      <w:pPr>
        <w:spacing w:after="0" w:line="100" w:lineRule="exact"/>
        <w:rPr>
          <w:rFonts w:ascii="Arial" w:cs="Arial" w:eastAsia="Arial" w:hAnsi="Arial"/>
          <w:sz w:val="18"/>
          <w:szCs w:val="18"/>
          <w:color w:val="auto"/>
        </w:rPr>
      </w:pPr>
    </w:p>
    <w:p>
      <w:pPr>
        <w:jc w:val="both"/>
        <w:ind w:left="660" w:right="180" w:hanging="328"/>
        <w:spacing w:after="0" w:line="26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Industrial revenue decreased by approximately 12% organically through the third quarter driven by weakness in North America, the emerging markets and western Europe. As 2020 progresses we expect industrial facilities to begin allowing access to sales teams and channel partners, but anticipate to continue experiencing slower orders and activity while non-essential work is deferred.</w:t>
      </w:r>
    </w:p>
    <w:p>
      <w:pPr>
        <w:ind w:left="660" w:right="180"/>
        <w:spacing w:after="0" w:line="256" w:lineRule="auto"/>
        <w:rPr>
          <w:rFonts w:ascii="Arial" w:cs="Arial" w:eastAsia="Arial" w:hAnsi="Arial"/>
          <w:sz w:val="17"/>
          <w:szCs w:val="17"/>
          <w:color w:val="auto"/>
        </w:rPr>
      </w:pPr>
      <w:r>
        <w:rPr>
          <w:rFonts w:ascii="Arial" w:cs="Arial" w:eastAsia="Arial" w:hAnsi="Arial"/>
          <w:sz w:val="18"/>
          <w:szCs w:val="18"/>
          <w:color w:val="auto"/>
        </w:rPr>
        <w:t>Exposure to the impacts of soft construction and industrial markets will continue to have an effect on our dewatering business in North America potentially leading to demand declines. We anticipate modest recovery in growth trajectory as countries and regions begin to further re-open and activity resumes.</w:t>
      </w:r>
    </w:p>
    <w:p>
      <w:pPr>
        <w:spacing w:after="0" w:line="93" w:lineRule="exact"/>
        <w:rPr>
          <w:rFonts w:ascii="Arial" w:cs="Arial" w:eastAsia="Arial" w:hAnsi="Arial"/>
          <w:sz w:val="17"/>
          <w:szCs w:val="17"/>
          <w:color w:val="auto"/>
        </w:rPr>
      </w:pPr>
    </w:p>
    <w:p>
      <w:pPr>
        <w:ind w:left="660" w:right="80" w:hanging="328"/>
        <w:spacing w:after="0" w:line="273"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commercial markets, organic revenue decline was approximately 9% through the third quarter driven by weakness in the emerging markets and the United States, partially offset by strength in western Europe. During 2020 we expect replacement business in the United States to continue to be impacted by COVID-19. We anticipate mixed performance in the institutional building sector depending on the "essential" nature of the end customer and modestly soft new construction activity in North America.</w:t>
      </w:r>
    </w:p>
    <w:p>
      <w:pPr>
        <w:spacing w:after="0" w:line="82" w:lineRule="exact"/>
        <w:rPr>
          <w:rFonts w:ascii="Arial" w:cs="Arial" w:eastAsia="Arial" w:hAnsi="Arial"/>
          <w:sz w:val="17"/>
          <w:szCs w:val="17"/>
          <w:color w:val="auto"/>
        </w:rPr>
      </w:pPr>
    </w:p>
    <w:p>
      <w:pPr>
        <w:ind w:left="660" w:right="4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residential markets, organic revenue decline was approximately 8% through the third quarter driven by weakness in the United States and western Europe. This market is primarily driven by replacement revenue serviced through our distribution network. As such, we anticipate healthy demand in China for secondary water supply product applications as well as modest share gains in Europe.</w:t>
      </w:r>
    </w:p>
    <w:p>
      <w:pPr>
        <w:spacing w:after="0" w:line="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on June 2, 2020 management committed to structural cost actions across our businesses and functions globally. These plans are designed to support our long-term financial resilience and simplify our operations, strengthen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8" w:name="page39"/>
    <w:bookmarkEnd w:id="38"/>
    <w:p>
      <w:pPr>
        <w:ind w:right="220"/>
        <w:spacing w:after="0" w:line="252" w:lineRule="auto"/>
        <w:rPr>
          <w:sz w:val="20"/>
          <w:szCs w:val="20"/>
          <w:color w:val="auto"/>
        </w:rPr>
      </w:pPr>
      <w:r>
        <w:rPr>
          <w:rFonts w:ascii="Arial" w:cs="Arial" w:eastAsia="Arial" w:hAnsi="Arial"/>
          <w:sz w:val="18"/>
          <w:szCs w:val="18"/>
          <w:color w:val="auto"/>
        </w:rPr>
        <w:t>competitive positioning and better serve our customers. Additionally, we will continue to strategically execute previously announced restructuring and realignment actions, primarily to reposition our European and North American businesses in an effort to optimize our cost structure and improve our operational efficiency and effectiveness. During 2020, we expect to incur between $75 million and $85 million in restructuring and realignment costs, with approximately $25 million of these costs being non-cash charges. We expect to realize approximately $ 67 million of net savings in 2020, consisting of $25 million of incremental net savings from restructuring and realignment actions initiated in 2019, and approximately $42 million of net savings from the restructuring, realignment and other structural cost actions initiated during this year.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Change</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3,503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29"/>
        </w:trPr>
        <w:tc>
          <w:tcPr>
            <w:tcW w:w="304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1,304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 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(170) bp</w:t>
            </w:r>
          </w:p>
        </w:tc>
        <w:tc>
          <w:tcPr>
            <w:tcW w:w="0" w:type="dxa"/>
            <w:vAlign w:val="bottom"/>
          </w:tcPr>
          <w:p>
            <w:pPr>
              <w:spacing w:after="0"/>
              <w:rPr>
                <w:sz w:val="1"/>
                <w:szCs w:val="1"/>
                <w:color w:val="auto"/>
              </w:rPr>
            </w:pPr>
          </w:p>
        </w:tc>
      </w:tr>
      <w:tr>
        <w:trPr>
          <w:trHeight w:val="230"/>
        </w:trPr>
        <w:tc>
          <w:tcPr>
            <w:tcW w:w="304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(22.1)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(660) 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 bp</w:t>
            </w:r>
          </w:p>
        </w:tc>
        <w:tc>
          <w:tcPr>
            <w:tcW w:w="0" w:type="dxa"/>
            <w:vAlign w:val="bottom"/>
          </w:tcPr>
          <w:p>
            <w:pPr>
              <w:spacing w:after="0"/>
              <w:rPr>
                <w:sz w:val="1"/>
                <w:szCs w:val="1"/>
                <w:color w:val="auto"/>
              </w:rPr>
            </w:pPr>
          </w:p>
        </w:tc>
      </w:tr>
      <w:tr>
        <w:trPr>
          <w:trHeight w:val="229"/>
        </w:trPr>
        <w:tc>
          <w:tcPr>
            <w:tcW w:w="3040" w:type="dxa"/>
            <w:vAlign w:val="bottom"/>
          </w:tcPr>
          <w:p>
            <w:pPr>
              <w:ind w:left="120"/>
              <w:spacing w:after="0"/>
              <w:rPr>
                <w:sz w:val="20"/>
                <w:szCs w:val="20"/>
                <w:color w:val="auto"/>
              </w:rPr>
            </w:pPr>
            <w:r>
              <w:rPr>
                <w:rFonts w:ascii="Arial" w:cs="Arial" w:eastAsia="Arial" w:hAnsi="Arial"/>
                <w:sz w:val="18"/>
                <w:szCs w:val="18"/>
                <w:color w:val="auto"/>
              </w:rPr>
              <w:t>Restructuring and realignment costs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(50.0)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Special charges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(54.8)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29"/>
        </w:trPr>
        <w:tc>
          <w:tcPr>
            <w:tcW w:w="3040" w:type="dxa"/>
            <w:vAlign w:val="bottom"/>
          </w:tcPr>
          <w:p>
            <w:pPr>
              <w:ind w:left="120"/>
              <w:spacing w:after="0"/>
              <w:rPr>
                <w:sz w:val="20"/>
                <w:szCs w:val="20"/>
                <w:color w:val="auto"/>
              </w:rPr>
            </w:pPr>
            <w:r>
              <w:rPr>
                <w:rFonts w:ascii="Arial" w:cs="Arial" w:eastAsia="Arial" w:hAnsi="Arial"/>
                <w:sz w:val="18"/>
                <w:szCs w:val="18"/>
                <w:color w:val="auto"/>
              </w:rPr>
              <w:t>Adjusted operating expenses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968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i w:val="1"/>
                <w:iCs w:val="1"/>
                <w:color w:val="auto"/>
              </w:rPr>
              <w:t>Adjusted operating expenses to</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24.8 %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27.6 %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revenue ratio</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 bp</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210 bp</w:t>
            </w:r>
          </w:p>
        </w:tc>
        <w:tc>
          <w:tcPr>
            <w:tcW w:w="0" w:type="dxa"/>
            <w:vAlign w:val="bottom"/>
          </w:tcPr>
          <w:p>
            <w:pPr>
              <w:spacing w:after="0"/>
              <w:rPr>
                <w:sz w:val="1"/>
                <w:szCs w:val="1"/>
                <w:color w:val="auto"/>
              </w:rPr>
            </w:pPr>
          </w:p>
        </w:tc>
      </w:tr>
      <w:tr>
        <w:trPr>
          <w:trHeight w:val="230"/>
        </w:trPr>
        <w:tc>
          <w:tcPr>
            <w:tcW w:w="304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563.6 %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 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(210) bp</w:t>
            </w:r>
          </w:p>
        </w:tc>
        <w:tc>
          <w:tcPr>
            <w:tcW w:w="0" w:type="dxa"/>
            <w:vAlign w:val="bottom"/>
          </w:tcPr>
          <w:p>
            <w:pPr>
              <w:spacing w:after="0"/>
              <w:rPr>
                <w:sz w:val="1"/>
                <w:szCs w:val="1"/>
                <w:color w:val="auto"/>
              </w:rPr>
            </w:pPr>
          </w:p>
        </w:tc>
      </w:tr>
      <w:tr>
        <w:trPr>
          <w:trHeight w:val="188"/>
        </w:trPr>
        <w:tc>
          <w:tcPr>
            <w:tcW w:w="3040" w:type="dxa"/>
            <w:vAlign w:val="bottom"/>
          </w:tcPr>
          <w:p>
            <w:pPr>
              <w:ind w:left="120"/>
              <w:spacing w:after="0" w:line="189" w:lineRule="exact"/>
              <w:rPr>
                <w:sz w:val="20"/>
                <w:szCs w:val="20"/>
                <w:color w:val="auto"/>
              </w:rPr>
            </w:pPr>
            <w:r>
              <w:rPr>
                <w:rFonts w:ascii="Arial" w:cs="Arial" w:eastAsia="Arial" w:hAnsi="Arial"/>
                <w:sz w:val="18"/>
                <w:szCs w:val="18"/>
                <w:color w:val="auto"/>
              </w:rPr>
              <w:t>Interest and other non-operating</w:t>
            </w:r>
          </w:p>
        </w:tc>
        <w:tc>
          <w:tcPr>
            <w:tcW w:w="280" w:type="dxa"/>
            <w:vAlign w:val="bottom"/>
          </w:tcPr>
          <w:p>
            <w:pPr>
              <w:spacing w:after="0"/>
              <w:rPr>
                <w:sz w:val="16"/>
                <w:szCs w:val="16"/>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sale of business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04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(116.9)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(146.7) %</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Tax rate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(59,740) 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3,550 bp</w:t>
            </w:r>
          </w:p>
        </w:tc>
        <w:tc>
          <w:tcPr>
            <w:tcW w:w="0" w:type="dxa"/>
            <w:vAlign w:val="bottom"/>
          </w:tcPr>
          <w:p>
            <w:pPr>
              <w:spacing w:after="0"/>
              <w:rPr>
                <w:sz w:val="1"/>
                <w:szCs w:val="1"/>
                <w:color w:val="auto"/>
              </w:rPr>
            </w:pPr>
          </w:p>
        </w:tc>
      </w:tr>
      <w:tr>
        <w:trPr>
          <w:trHeight w:val="239"/>
        </w:trPr>
        <w:tc>
          <w:tcPr>
            <w:tcW w:w="30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(43.1) %</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106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(62.5) %</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Revenue generated during the three and nine months ended September 30, 2020 was $1,220 million and $ 3,503 million, reflecting decreases of $ 76 million, or 5.9%, and $ 375 million, or 9.7%, respectively, compared to the same prior year periods. On a constant currency basis, revenue declined 6.6% and 8.8% for the three and nine months ended September 30, 2020. The decreases at constant currency consisted entirely of declines in organic revenue of $85 million and $340 million, respectively, reflecting significantly lower demand in the United States and the Middle East, largely due to COVID-19, partially offset by growth in China and western Europe in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9" w:name="page40"/>
    <w:bookmarkEnd w:id="39"/>
    <w:p>
      <w:pPr>
        <w:ind w:right="480"/>
        <w:spacing w:after="0" w:line="261" w:lineRule="auto"/>
        <w:rPr>
          <w:sz w:val="20"/>
          <w:szCs w:val="20"/>
          <w:color w:val="auto"/>
        </w:rPr>
      </w:pPr>
      <w:r>
        <w:rPr>
          <w:rFonts w:ascii="Arial" w:cs="Arial" w:eastAsia="Arial" w:hAnsi="Arial"/>
          <w:sz w:val="18"/>
          <w:szCs w:val="18"/>
          <w:color w:val="auto"/>
        </w:rPr>
        <w:t>The following tables illustrates the impact from organic declines, recent acquisitions and divestitures, and foreign currency translation in relation to revenue during the three and nine months ended September 30,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Water Infrastructure</w:t>
            </w:r>
          </w:p>
        </w:tc>
        <w:tc>
          <w:tcPr>
            <w:tcW w:w="240" w:type="dxa"/>
            <w:vAlign w:val="bottom"/>
          </w:tcPr>
          <w:p>
            <w:pPr>
              <w:spacing w:after="0"/>
              <w:rPr>
                <w:sz w:val="14"/>
                <w:szCs w:val="14"/>
                <w:color w:val="auto"/>
              </w:rPr>
            </w:pPr>
          </w:p>
        </w:tc>
        <w:tc>
          <w:tcPr>
            <w:tcW w:w="19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Applied Water</w:t>
            </w: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Measurement &amp; Control</w:t>
            </w:r>
          </w:p>
        </w:tc>
        <w:tc>
          <w:tcPr>
            <w:tcW w:w="260" w:type="dxa"/>
            <w:vAlign w:val="bottom"/>
          </w:tcPr>
          <w:p>
            <w:pPr>
              <w:spacing w:after="0"/>
              <w:rPr>
                <w:sz w:val="14"/>
                <w:szCs w:val="14"/>
                <w:color w:val="auto"/>
              </w:rPr>
            </w:pPr>
          </w:p>
        </w:tc>
        <w:tc>
          <w:tcPr>
            <w:tcW w:w="1860" w:type="dxa"/>
            <w:vAlign w:val="bottom"/>
            <w:gridSpan w:val="2"/>
            <w:vMerge w:val="restart"/>
          </w:tcPr>
          <w:p>
            <w:pPr>
              <w:jc w:val="right"/>
              <w:ind w:right="57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18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620" w:type="dxa"/>
            <w:vAlign w:val="bottom"/>
          </w:tcPr>
          <w:p>
            <w:pPr>
              <w:ind w:left="120"/>
              <w:spacing w:after="0"/>
              <w:rPr>
                <w:sz w:val="20"/>
                <w:szCs w:val="20"/>
                <w:color w:val="auto"/>
              </w:rPr>
            </w:pPr>
            <w:r>
              <w:rPr>
                <w:rFonts w:ascii="Arial" w:cs="Arial" w:eastAsia="Arial" w:hAnsi="Arial"/>
                <w:sz w:val="18"/>
                <w:szCs w:val="18"/>
                <w:color w:val="auto"/>
              </w:rPr>
              <w:t>2019 Revenue</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2620" w:type="dxa"/>
            <w:vAlign w:val="bottom"/>
          </w:tcPr>
          <w:p>
            <w:pPr>
              <w:ind w:left="3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8"/>
        </w:trPr>
        <w:tc>
          <w:tcPr>
            <w:tcW w:w="2620" w:type="dxa"/>
            <w:vAlign w:val="bottom"/>
          </w:tcPr>
          <w:p>
            <w:pPr>
              <w:ind w:left="340"/>
              <w:spacing w:after="0" w:line="189" w:lineRule="exact"/>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change in revenue</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620" w:type="dxa"/>
            <w:vAlign w:val="bottom"/>
          </w:tcPr>
          <w:p>
            <w:pPr>
              <w:ind w:left="120"/>
              <w:spacing w:after="0"/>
              <w:rPr>
                <w:sz w:val="20"/>
                <w:szCs w:val="20"/>
                <w:color w:val="auto"/>
              </w:rPr>
            </w:pPr>
            <w:r>
              <w:rPr>
                <w:rFonts w:ascii="Arial" w:cs="Arial" w:eastAsia="Arial" w:hAnsi="Arial"/>
                <w:sz w:val="18"/>
                <w:szCs w:val="18"/>
                <w:b w:val="1"/>
                <w:bCs w:val="1"/>
                <w:color w:val="auto"/>
              </w:rPr>
              <w:t>2020 Revenue</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40" w:right="160" w:hanging="332"/>
        <w:spacing w:after="0" w:line="260"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Water Infrastructure</w:t>
            </w:r>
          </w:p>
        </w:tc>
        <w:tc>
          <w:tcPr>
            <w:tcW w:w="240" w:type="dxa"/>
            <w:vAlign w:val="bottom"/>
          </w:tcPr>
          <w:p>
            <w:pPr>
              <w:spacing w:after="0"/>
              <w:rPr>
                <w:sz w:val="14"/>
                <w:szCs w:val="14"/>
                <w:color w:val="auto"/>
              </w:rPr>
            </w:pPr>
          </w:p>
        </w:tc>
        <w:tc>
          <w:tcPr>
            <w:tcW w:w="19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Applied Water</w:t>
            </w:r>
          </w:p>
        </w:tc>
        <w:tc>
          <w:tcPr>
            <w:tcW w:w="2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Measurement &amp; Control</w:t>
            </w:r>
          </w:p>
        </w:tc>
        <w:tc>
          <w:tcPr>
            <w:tcW w:w="240" w:type="dxa"/>
            <w:vAlign w:val="bottom"/>
          </w:tcPr>
          <w:p>
            <w:pPr>
              <w:spacing w:after="0"/>
              <w:rPr>
                <w:sz w:val="14"/>
                <w:szCs w:val="14"/>
                <w:color w:val="auto"/>
              </w:rPr>
            </w:pPr>
          </w:p>
        </w:tc>
        <w:tc>
          <w:tcPr>
            <w:tcW w:w="1860" w:type="dxa"/>
            <w:vAlign w:val="bottom"/>
            <w:gridSpan w:val="2"/>
            <w:vMerge w:val="restart"/>
          </w:tcPr>
          <w:p>
            <w:pPr>
              <w:jc w:val="right"/>
              <w:ind w:right="57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Change</w:t>
            </w:r>
          </w:p>
        </w:tc>
        <w:tc>
          <w:tcPr>
            <w:tcW w:w="118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620" w:type="dxa"/>
            <w:vAlign w:val="bottom"/>
          </w:tcPr>
          <w:p>
            <w:pPr>
              <w:ind w:left="120"/>
              <w:spacing w:after="0"/>
              <w:rPr>
                <w:sz w:val="20"/>
                <w:szCs w:val="20"/>
                <w:color w:val="auto"/>
              </w:rPr>
            </w:pPr>
            <w:r>
              <w:rPr>
                <w:rFonts w:ascii="Arial" w:cs="Arial" w:eastAsia="Arial" w:hAnsi="Arial"/>
                <w:sz w:val="18"/>
                <w:szCs w:val="18"/>
                <w:color w:val="auto"/>
              </w:rPr>
              <w:t>2019 Revenue</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8"/>
        </w:trPr>
        <w:tc>
          <w:tcPr>
            <w:tcW w:w="2620" w:type="dxa"/>
            <w:vAlign w:val="bottom"/>
          </w:tcPr>
          <w:p>
            <w:pPr>
              <w:ind w:left="340"/>
              <w:spacing w:after="0" w:line="189" w:lineRule="exact"/>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change in revenue</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620" w:type="dxa"/>
            <w:vAlign w:val="bottom"/>
          </w:tcPr>
          <w:p>
            <w:pPr>
              <w:ind w:left="120"/>
              <w:spacing w:after="0"/>
              <w:rPr>
                <w:sz w:val="20"/>
                <w:szCs w:val="20"/>
                <w:color w:val="auto"/>
              </w:rPr>
            </w:pPr>
            <w:r>
              <w:rPr>
                <w:rFonts w:ascii="Arial" w:cs="Arial" w:eastAsia="Arial" w:hAnsi="Arial"/>
                <w:sz w:val="18"/>
                <w:szCs w:val="18"/>
                <w:b w:val="1"/>
                <w:bCs w:val="1"/>
                <w:color w:val="auto"/>
              </w:rPr>
              <w:t>2020 Revenue</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1,463</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1,001</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3,503</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580" w:hanging="332"/>
        <w:spacing w:after="0" w:line="260"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Norwegian Krone, the South African Rand, the Brazilian Real, the Chinese Yuan and the Australian Dollar.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Water Infrastructure revenue decreased $7 million, or 1.3%, for the third quarter of 2020 (2.1% decrease at constant currency) as compared to the prior year period. Revenue benefited from $4 million of foreign currency translation, with the change at constant currency coming entirely from an organic decline of $11 million. Organic weakness for the quarter was primarily driven by the industrial end market, particularly in North America, due to continued soft market conditions in oil and gas and mining, as well as in the emerging markets and western Europe. This organic revenue decline for the quarter was partially offset by growth in the utility end market, particularly in western Europe and China.</w:t>
      </w:r>
    </w:p>
    <w:p>
      <w:pPr>
        <w:spacing w:after="0" w:line="10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From an application perspective, the organic revenue decline during the third quarter was primarily driven by our transport application, where market conditions continued to soften in the United States for construction, mining and oil and gas, negatively impacting the dewatering applications. The transport application also saw organic growth during the quarter in the United States, driven by custom pump sales, and in western Europe. Our treatment application also had modest growth during the quarter, driven by strong backlog execution in China.</w:t>
      </w:r>
    </w:p>
    <w:p>
      <w:pPr>
        <w:spacing w:after="0" w:line="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nine months ended September 30, 2020, revenue decreased $111 million, or 7.1% (5.5% decrease at constant currency) as compared to prior year. Revenue was negatively impacted by $24 million of foreign currency translation, with the change at constant currency coming entirely from an organic decline of $87 million. Organic weakness for the nine month period was primarily driven by the industrial end market, particularly in North America and the emerging markets, heavily impacted by the COVID-19 pandemic during the year. Organic revenue decline during the nine month period was also impacted by weakness, to a lesser extent, in the utility end market, particularly in the United States, partially offset by organic growth in Europe during the period.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COVID-19 pandemic negatively impacted organic growth during the period throughout the entire segment and both end markets.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an application perspective, the organic revenue decline during the nine months ended September 30, 2020 was driven by our transport application where market conditions continued to soften in United States in the dewatering applications, with construction, oil and gas and mining all down during the year. We also saw organic revenue decline within the emerging markets in the transport application, primarily in India, with India experiencing the lapping of some large projects executed in the prior year, as well as in Latin America. Organic revenue declines within the transport application were partially offset by modest organic growth in the treatment application during the year, primarily driven by projects in the emerging markets.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Applied Water revenue decreased $12 million, or 3.2%, for the third quarter of 2020 (4.0% decrease at constant currency) as compared to the prior year. Revenue benefited from $3 million of foreign currency translation for the quarter, with the change at constant currency coming entirely from an organic decline of $ 15 million. Organic weakness for the quarter was primarily driven by the industrial end market with, general industrial weakening driven by COVID-19 impacts and restrictions, particularly in western Europe and the United States, and declines in the building services commercial end market, where weakness in the emerging markets and the United Sates were partially offset by strength in western Europe during the quarter. Organic weakness during the quarter in these end markets was partially offset by modest growth in the building services residential end market.</w:t>
      </w:r>
    </w:p>
    <w:p>
      <w:pPr>
        <w:spacing w:after="0" w:line="9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the nine months ended September 30, 2020, revenue decreased $110 million, or 9.6% (9.1% decrease at constant currency) as compared to the prior year. Revenue was negatively impacted by $6 million of foreign currency translation for the period, with the change at constant currency coming entirely from an organic decline of $104 million. Organic weakness during the nine month period was driven by declines across all end markets and applications, with industrial water and commercial building services declining the most, followed by declines in building services in the residential market as well. Organic revenue declines in the segment were seen across all major geographic regions as well, particularly in the United States, the emerging markets and western Europe, where the COVID-19 pandemic restricted activities and caused a slow down and general softening in the markets served.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Measurement &amp; Control Solutions revenue decreased $57 million, or 14.7%, for the third quarter of 2020 (15.2% at constant currency) as compared to the prior year. Revenue benefited from $2 million of foreign currency translation for the quarter, with the change at constant currency coming entirely from an organic decline of $ 59 million. Organic weakness for the quarter was driven by declines in the utility end market, primarily in the United States and the Middle East and, to a much lesser extent, weakness in the industrial end market in western Europe. Organic revenue declines in the segment were significantly impacted by project timing and the COVID-19 pandemic during the quarter, particularly in the United States.</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an application perspective, the organic revenue decline for the segment was primarily driven by project timing in the gas business within the energy application where large project deployments in the United States during the prior year did not repeat and we experienced project delays driven by the COVID-19 pandemic during the year. The water application also experienced organic revenue decline during the quarter, driven by the lapping of strong project deployments in the Middle East and the United States during the third quarter of the prior year and negative COVID-19 impacts, which drove market softness in the United States where travel restrictions and site closures impacted our assessment services business. Organic weakness during the quarter was partially offset by the strong electric sales in the United States within the energy application. The test and the software as a service ("SaaS") applications both had modest declines in revenue as compared to the prior year in western Europe and in the United States, respectively.</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the nine months ended September 30, 2020, revenue decreased $154 million, or 13.3% (12.9% at constant currency) as compared to the prior year. Revenue was negatively impacted by $5 million of foreign currency translation during the nine month period, with the change at constant currency coming entirely from an organic decline of $149 million. Organic weakness for the period was driven by declines in the utility end market, primarily in the United States and the Middle East, marginally offset by modest organic growth in western Europe during the year. To a lesser extent, the test application also experienced organic weakness in the industrial end market across all major geographic regions during the period. Organic revenue declines in the segment were significantly impacted by the COVID-19 pandemic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1" w:name="page42"/>
    <w:bookmarkEnd w:id="41"/>
    <w:p>
      <w:pPr>
        <w:ind w:right="40"/>
        <w:spacing w:after="0" w:line="252" w:lineRule="auto"/>
        <w:rPr>
          <w:sz w:val="20"/>
          <w:szCs w:val="20"/>
          <w:color w:val="auto"/>
        </w:rPr>
      </w:pPr>
      <w:r>
        <w:rPr>
          <w:rFonts w:ascii="Arial" w:cs="Arial" w:eastAsia="Arial" w:hAnsi="Arial"/>
          <w:sz w:val="18"/>
          <w:szCs w:val="18"/>
          <w:color w:val="auto"/>
        </w:rPr>
        <w:t>From an application perspective, the organic revenue decline for the segment was driven by the water application, where the COVID-19 pandemic drove market softness in the United States and we lapped strong project deployments in the Middle East during the prior year. The energy application also had decline in organic revenue as compared to the prior year, primarily in North America as we lapped a few large gas project deployments and have been negatively impacted by the COVID-19 pandemic. The test application also experienced organic revenue decline during the period across all major regions, where we experienced negative impacts from the COVID-19 pandemic, and the lapping of a couple large prior year project executions in the Middle East. The SaaS application had a modest decline in revenue as compared to the prior year, primarily in the United States.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third quarter of 2020 were $1,246 million, a decrease of $ 100 million, or 7.4%, over the prior year (8.2% decrease at constant currency). Orders received during the nine months ended September 30, 2020 were $3,739 million, a decrease of $314 million, or 7.7%, over the prior year (6.5% decrease at constant currency). Order intake benefited from $ 10 million of foreign currency translation during the quarter and was negatively impacted by $ 49 million of foreign currency translation for the nine months ended September 30, 2020. The change at constant currency was driven entirely by organic declines of $110 million and $265 million for the three and nine months ended September 30, 2020, respectively.</w:t>
      </w:r>
    </w:p>
    <w:p>
      <w:pPr>
        <w:spacing w:after="0" w:line="9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following tables illustrates the impact from organic declines, recent acquisitions and divestitures, and foreign currency translation in relation to orders during the three and nine months ended September 30,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w w:val="99"/>
              </w:rPr>
              <w:t>Water Infrastructure</w:t>
            </w:r>
          </w:p>
        </w:tc>
        <w:tc>
          <w:tcPr>
            <w:tcW w:w="18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vMerge w:val="restart"/>
          </w:tcPr>
          <w:p>
            <w:pPr>
              <w:jc w:val="right"/>
              <w:ind w:right="37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220" w:type="dxa"/>
            <w:vAlign w:val="bottom"/>
            <w:gridSpan w:val="4"/>
          </w:tcPr>
          <w:p>
            <w:pPr>
              <w:ind w:left="100"/>
              <w:spacing w:after="0"/>
              <w:rPr>
                <w:sz w:val="20"/>
                <w:szCs w:val="20"/>
                <w:color w:val="auto"/>
              </w:rPr>
            </w:pPr>
            <w:r>
              <w:rPr>
                <w:rFonts w:ascii="Arial" w:cs="Arial" w:eastAsia="Arial" w:hAnsi="Arial"/>
                <w:sz w:val="16"/>
                <w:szCs w:val="16"/>
                <w:b w:val="1"/>
                <w:bCs w:val="1"/>
                <w:color w:val="auto"/>
              </w:rPr>
              <w:t>Measurement &amp; Control</w:t>
            </w:r>
          </w:p>
        </w:tc>
        <w:tc>
          <w:tcPr>
            <w:tcW w:w="240" w:type="dxa"/>
            <w:vAlign w:val="bottom"/>
          </w:tcPr>
          <w:p>
            <w:pPr>
              <w:spacing w:after="0"/>
              <w:rPr>
                <w:sz w:val="16"/>
                <w:szCs w:val="16"/>
                <w:color w:val="auto"/>
              </w:rPr>
            </w:pPr>
          </w:p>
        </w:tc>
        <w:tc>
          <w:tcPr>
            <w:tcW w:w="1780" w:type="dxa"/>
            <w:vAlign w:val="bottom"/>
            <w:gridSpan w:val="2"/>
            <w:vMerge w:val="restart"/>
          </w:tcPr>
          <w:p>
            <w:pPr>
              <w:jc w:val="right"/>
              <w:ind w:right="47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0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rPr>
                <w:sz w:val="20"/>
                <w:szCs w:val="20"/>
                <w:color w:val="auto"/>
              </w:rPr>
            </w:pPr>
            <w:r>
              <w:rPr>
                <w:rFonts w:ascii="Arial" w:cs="Arial" w:eastAsia="Arial" w:hAnsi="Arial"/>
                <w:sz w:val="18"/>
                <w:szCs w:val="18"/>
                <w:color w:val="auto"/>
              </w:rPr>
              <w:t>2019 Orders</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2600" w:type="dxa"/>
            <w:vAlign w:val="bottom"/>
          </w:tcPr>
          <w:p>
            <w:pPr>
              <w:ind w:left="12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8"/>
        </w:trPr>
        <w:tc>
          <w:tcPr>
            <w:tcW w:w="2600" w:type="dxa"/>
            <w:vAlign w:val="bottom"/>
          </w:tcPr>
          <w:p>
            <w:pPr>
              <w:ind w:left="120"/>
              <w:spacing w:after="0" w:line="189" w:lineRule="exact"/>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2020 Orders</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160" w:hanging="332"/>
        <w:spacing w:after="0" w:line="260"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w w:val="99"/>
              </w:rPr>
              <w:t>Water Infrastructure</w:t>
            </w:r>
          </w:p>
        </w:tc>
        <w:tc>
          <w:tcPr>
            <w:tcW w:w="18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vMerge w:val="restart"/>
          </w:tcPr>
          <w:p>
            <w:pPr>
              <w:jc w:val="right"/>
              <w:ind w:right="37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200" w:type="dxa"/>
            <w:vAlign w:val="bottom"/>
            <w:gridSpan w:val="4"/>
          </w:tcPr>
          <w:p>
            <w:pPr>
              <w:ind w:left="10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178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6"/>
                <w:szCs w:val="16"/>
                <w:b w:val="1"/>
                <w:bCs w:val="1"/>
                <w:color w:val="auto"/>
              </w:rPr>
              <w:t>Solutions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0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Orders</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Organic Impact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100" w:type="dxa"/>
            <w:vAlign w:val="bottom"/>
          </w:tcPr>
          <w:p>
            <w:pPr>
              <w:jc w:val="right"/>
              <w:spacing w:after="0"/>
              <w:rPr>
                <w:sz w:val="20"/>
                <w:szCs w:val="20"/>
                <w:color w:val="auto"/>
              </w:rPr>
            </w:pPr>
            <w:r>
              <w:rPr>
                <w:rFonts w:ascii="Arial" w:cs="Arial" w:eastAsia="Arial" w:hAnsi="Arial"/>
                <w:sz w:val="18"/>
                <w:szCs w:val="18"/>
                <w:color w:val="auto"/>
              </w:rPr>
              <w:t>0.2 %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w:t>
            </w: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Acquisitions/(Divestitures)</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620" w:type="dxa"/>
            <w:vAlign w:val="bottom"/>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8"/>
        </w:trPr>
        <w:tc>
          <w:tcPr>
            <w:tcW w:w="2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change in orders</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 Orders</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1,670</w:t>
            </w: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3,739</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40" w:right="580" w:hanging="332"/>
        <w:spacing w:after="0" w:line="260"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Norwegian Krone, the South African Rand, the Brazilian Real, the Chinese Yuan and the Australian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Water Infrastructure segment orders decreased $28 million, or 4.8%, to $558 million (5.5% decrease at constant currency) for the third quarter of 2020 as compared to the prior year. Order intake during the quarter benefited from $4 million of foreign currency translation, with the change at constant currency coming from organic order decline in the transport application, which was partially offset by growth in the treatment application during the quarter. Organic decline in the transport application was driven by the lapping of a large project order in India in the prior year, along with market weakness in construction, oil and gas and mining impacting the dewatering transport application, primarily in the United States. Organic growth in the treatment application was primarily driven by strong order intake in Asia Pacific and North America during the quarter. The COVID-19 pandemic contributed to the negative dynamics that impacted organic order growth during the quarter.</w:t>
      </w:r>
    </w:p>
    <w:p>
      <w:pPr>
        <w:spacing w:after="0" w:line="9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For the nine months ended September 30, 2020, orders decreased $34 million, or 2.0%, to $1,670 million (0.2% increase at constant currency) as compared to the same prior year period. Order intake during the period was negatively impacted by $38 million of foreign currency translation, with the change at constant currency coming from organic growth in orders in the treatment application, which was partially offset by a decline in organic orders in the transport application. Organic growth in the treatment application was driven by strong order intake in North America, partially offset by large project orders placed during the prior year in the emerging markets. The transport application experienced an organic order decline during the period, primarily driven by market weakness in construction, oil and gas and mining impacting the dewatering application in North America, largely offset by the net year over year positive impact of significant project orders in India. The COVID-19 pandemic also negatively impacted organic order growth for the segment during the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Applied Water segment orders decreased $1 million, or 0.3%, to $375 million (1.1% decrease at constant currency) for the third quarter of 2020 as compared to the prior year. Order intake during the quarter benefited from $3 million of foreign currency translation. The order decrease on a constant currency basis was primarily driven by organic weakness during the quarter in the commercial end market in the United States and in the emerging markets, particularly in the Middle East, which was mostly offset by strong order intake in the residential end market in the United States.</w:t>
      </w:r>
    </w:p>
    <w:p>
      <w:pPr>
        <w:spacing w:after="0" w:line="9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the nine months ended September 30, 2020, orders decreased $96 million, or 8.2%, to $1,073 million (7.6% decrease at constant currency) as compared to the same prior year period. Order intake during the period was negatively impacted by $7 million of foreign currency translation. The order decrease on a constant currency basis was primarily driven by organic weakness across all end markets in the United States and, to a lesser extent, reduced order intake in the emerging markets and western Europe during the period.</w:t>
      </w:r>
    </w:p>
    <w:p>
      <w:pPr>
        <w:spacing w:after="0" w:line="96" w:lineRule="exact"/>
        <w:rPr>
          <w:sz w:val="20"/>
          <w:szCs w:val="20"/>
          <w:color w:val="auto"/>
        </w:rPr>
      </w:pPr>
    </w:p>
    <w:p>
      <w:pPr>
        <w:ind w:right="360"/>
        <w:spacing w:after="0" w:line="375" w:lineRule="auto"/>
        <w:rPr>
          <w:sz w:val="20"/>
          <w:szCs w:val="20"/>
          <w:color w:val="auto"/>
        </w:rPr>
      </w:pPr>
      <w:r>
        <w:rPr>
          <w:rFonts w:ascii="Arial" w:cs="Arial" w:eastAsia="Arial" w:hAnsi="Arial"/>
          <w:sz w:val="18"/>
          <w:szCs w:val="18"/>
          <w:color w:val="auto"/>
        </w:rPr>
        <w:t xml:space="preserve">The organic order growth for the segment during the three and nine month periods was negatively impacted by the COVID-19 pandemic. </w:t>
      </w:r>
      <w:r>
        <w:rPr>
          <w:rFonts w:ascii="Arial" w:cs="Arial" w:eastAsia="Arial" w:hAnsi="Arial"/>
          <w:sz w:val="18"/>
          <w:szCs w:val="18"/>
          <w:i w:val="1"/>
          <w:iCs w:val="1"/>
          <w:color w:val="auto"/>
        </w:rPr>
        <w:t>Measurement &amp; Control Solutions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Measurement &amp; Control Solutions segment orders decreased $71 million, or 18.5%, to $313 million (19.3% decrease at constant currency) for the third quarter of 2020 as compared to the prior year. Order intake during the quarter benefited from $ 3 million of foreign currency translation. The order decrease on a constant currency basis was driven by an organic decline in the water application which was negatively impacted by the lapping of strong prior year orders, coupled with negative COVID-19 impacts, including travel restrictions and site closures. Order intake in the energy applications declined organically during the quarter, driven by negative COVID-19 impacts, coupled with the lapping of large prior year gas and electric project deployments. The SaaS application also experienced an organic order decline during the quarter as market conditions softened as a result of the COVID-19 pandemic. Organic order intake in the test application grew modestly during the quarter.</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nine months ended September 30, 2020, orders decreased $184 million, or 15.6%, to $996 million (15.3% decrease at constant currency) as compared to the same prior year period. Order intake during the period was negatively impacted by $4 million of foreign currency translation. The order decrease on a constant currency basis was driven by the water application, where we lapped prior year orders, and, to a lesser extent, the energy application, where prior year gas project deployments more than offset strong electric order intake during the period. The SaaS application also contributed to the organic decline during the period, driven by the lapping of large project deployment orders in North America during the prior year. The test application, primarily in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ind w:right="320"/>
        <w:spacing w:after="0" w:line="261" w:lineRule="auto"/>
        <w:rPr>
          <w:sz w:val="20"/>
          <w:szCs w:val="20"/>
          <w:color w:val="auto"/>
        </w:rPr>
      </w:pPr>
      <w:r>
        <w:rPr>
          <w:rFonts w:ascii="Arial" w:cs="Arial" w:eastAsia="Arial" w:hAnsi="Arial"/>
          <w:sz w:val="18"/>
          <w:szCs w:val="18"/>
          <w:color w:val="auto"/>
        </w:rPr>
        <w:t>and the United States, also experienced a reduction in order intake during the period. The COVID-19 pandemic significantly impacted the organic order growth during the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can occur from time to time. Total backlog was $2,192 million at September 30, 2020, an increase of $324 million or 17.3%, as compared to September 30, 2019 backlog of $1,868 million, and an increase of $391 million or 21.7%, as compared to December 31, 2019 backlog of $1,801 million. We anticipate that approximately 32% of the backlog at September 30, 2020 will be recognized as revenue in the remainder of 2020. There were no significant order cancellations during the quarter.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Gross margin as a percentage of revenue decreased 150 and 170 basis points to 37.8% and 37.2% for the three and nine months ended September 30, 2020, as compared to 39.3% and 38.9% for comparative 2019 periods. The gross margin decrease for quarter was primarily driven by cost inflation, unfavorable mix, unfavorable volume, impacted by COVID-19 and increased inventory management costs, which were partially offset by cost reductions from our global procurement and productivity improvement initiatives and price realization. The gross margin decrease for the nine month period was primarily driven by cost inflation, increased inventory management costs, unfavorable mix, unfavorable volume, impacted by COVID-19, and other lesser impacts, which were partially offset by cost reductions from our global procurement and productivity improvement initiatives and price realization.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nine months ended September 30, 2020 and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5"/>
                <w:szCs w:val="15"/>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33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68"/>
        </w:trPr>
        <w:tc>
          <w:tcPr>
            <w:tcW w:w="3440" w:type="dxa"/>
            <w:vAlign w:val="bottom"/>
            <w:tcBorders>
              <w:top w:val="single" w:sz="8" w:color="CCEEFF"/>
            </w:tcBorders>
            <w:shd w:val="clear" w:color="auto" w:fill="CCEEFF"/>
          </w:tcPr>
          <w:p>
            <w:pPr>
              <w:ind w:left="120"/>
              <w:spacing w:after="0" w:line="168"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266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851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 ("SG&amp;A")</w:t>
            </w:r>
          </w:p>
        </w:tc>
        <w:tc>
          <w:tcPr>
            <w:tcW w:w="2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bp</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("R&amp;D")</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bp</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Restructuring and asset impairment</w:t>
            </w:r>
          </w:p>
        </w:tc>
        <w:tc>
          <w:tcPr>
            <w:tcW w:w="2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charges</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(42.4)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Goodwill impairment charge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(60.8)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(60.8) %</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388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1,116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39"/>
        </w:trPr>
        <w:tc>
          <w:tcPr>
            <w:tcW w:w="3440" w:type="dxa"/>
            <w:vAlign w:val="bottom"/>
          </w:tcPr>
          <w:p>
            <w:pPr>
              <w:ind w:left="34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(660) bp</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SG&amp;A expenses decreased by $7 million to $266 million, or 21.8% of revenue, in the third quarter of 2020, as compared to $273 million, or 21.1% of revenue, in the comparable 2019 period; and decreased $19 million to $851 million, or 24.3% of revenue, in the nine months ended September 30, 2020, as compared to $870 million, or 22.4% of revenue, for the nine months ended in 2019. The increase in SG&amp;A as a percent of revenue for both periods was primarily driven by the drop in revenue, which was significantly driven by impacts of the COVID-19 pandemic, as well as cost inflation and additional investment in strategic growth initiatives. Cost reductions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4" w:name="page45"/>
    <w:bookmarkEnd w:id="44"/>
    <w:p>
      <w:pPr>
        <w:ind w:right="1660"/>
        <w:spacing w:after="0" w:line="375" w:lineRule="auto"/>
        <w:rPr>
          <w:sz w:val="20"/>
          <w:szCs w:val="20"/>
          <w:color w:val="auto"/>
        </w:rPr>
      </w:pPr>
      <w:r>
        <w:rPr>
          <w:rFonts w:ascii="Arial" w:cs="Arial" w:eastAsia="Arial" w:hAnsi="Arial"/>
          <w:sz w:val="18"/>
          <w:szCs w:val="18"/>
          <w:color w:val="auto"/>
        </w:rPr>
        <w:t xml:space="preserve">global procurement and productivity improvement initiatives, including restructuring savings, partially offsets these items. </w:t>
      </w:r>
      <w:r>
        <w:rPr>
          <w:rFonts w:ascii="Arial" w:cs="Arial" w:eastAsia="Arial" w:hAnsi="Arial"/>
          <w:sz w:val="18"/>
          <w:szCs w:val="18"/>
          <w:b w:val="1"/>
          <w:bCs w:val="1"/>
          <w:i w:val="1"/>
          <w:iCs w:val="1"/>
          <w:color w:val="auto"/>
        </w:rPr>
        <w:t>Research and Development ("R&amp;D") Expenses</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R&amp;D expense was $45 million, or 3.7% of revenue, in the third quarter of 2020, as compared to $ 44 million, or 3.4% of revenue, in the comparable period of 2019; and was $138 million, or 3.9% of revenue, in the nine months ended September 30, 2020, as compared to $142 million, or 3.7% of revenue, in the comparable period of 2019. The increase in R&amp;D as a percent of revenue for both periods was primarily driven by the drop in revenue, which was significantly driven by impacts of the COVID-19 pandemic.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on June 2, 2020 management committed to restructuring activities across our businesses and functions globally. The plan is designed to support our long-term financial resilience and simplify our operations, strengthen our competitive positioning and better serve our customers.</w:t>
      </w:r>
    </w:p>
    <w:p>
      <w:pPr>
        <w:spacing w:after="0" w:line="9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As a result of this action, during the three and nine months ended September 30, 2020, we recognized restructuring charges of $8 million and $48 million, respectively. These charges included reduction of headcount across all segments and asset impairments within our Measurement &amp; Control Solutions segment. Immaterial restructuring charges incurred during the first quarter are included in the plan information presented below.</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three and nine months ended September 30, 2019, we recognized restructuring charges of $26 million and $48 million, respectively. We incurred these charges primarily as a continuation of our efforts to reposition our European and North American businesses to optimize our cost structure and improve our operational efficiency and effectiveness. The charges included the reduction of headcount and consolidation of facilities within our Measurement &amp; Control Solutions and Water Infrastructure segments, as well as headcount reductions within our Applied Water segment.</w:t>
      </w:r>
    </w:p>
    <w:p>
      <w:pPr>
        <w:spacing w:after="0" w:line="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is a roll-forward for the nine months ended September 30, 2020 and 2019 of employee position eliminations associated with restructuring activities: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2019</w:t>
            </w:r>
          </w:p>
        </w:tc>
      </w:tr>
      <w:tr>
        <w:trPr>
          <w:trHeight w:val="223"/>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196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670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(604)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Planned reductions - September 30</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262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presents expected restructuring spend in 2020 and thereafter: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Q3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2019: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Q3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2021. The Water Infrastructure, Applied Water, and Measurement &amp; Control Solutions actions commenced in 2019 consist primarily of severance charges. The actions commenced in 2019 are complete.</w:t>
      </w:r>
    </w:p>
    <w:p>
      <w:pPr>
        <w:spacing w:after="0" w:line="96"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During the second quarter of 2020 the discontinuance of a product line resulted $17 million of asset impairments, primarily related to customer relationships, trademarks and fixed assets within our Measurement &amp; Control Solutions segment.</w:t>
      </w:r>
    </w:p>
    <w:p>
      <w:pPr>
        <w:spacing w:after="0" w:line="9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currently expect to incur between $55 million and $60 million in restructuring costs for the full year, with approximately $20 million of these costs being non-cash charges. These restructuring charges are primarily related to actions taken in response to the changes in business and economic conditions arising as a result of the COVID-19 pandemic. We expect to realize approximately $25 million of incremental net savings in 2020 from restructuring actions initiated in 2019, and approximately $22 million of net savings in 2020 from the restructuring actions initiated during this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third quarter of 2020, we determined that certain assets within our Measurement &amp; Control Solutions segment, including software and proprietary technology were impaired. Accordingly we recognized an impairment charge of $11 million. Refer to Note 9, "Goodwill and Other Intangible Assets," for additional information.</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9, "Goodwill and Other Intangible Assets," for additional information.</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third quarter of 2019, we determined that certain assets within our Measurement &amp; Control Solutions segment, including customer relationships, internally developed software, proprietary technology, and plant property &amp; equipment, were impaired. Accordingly we recognized an impairment charge of $7 million. Refer to Note 9, "Goodwill and Other Intangible Assets," for additional information.</w:t>
      </w:r>
    </w:p>
    <w:p>
      <w:pPr>
        <w:spacing w:after="0" w:line="9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During the first quarter of 2019, we determined that certain assets within our Measurement &amp; Control Solutions segment, including customer relationships, were impaired. Accordingly we recognized an impairment charge of $3 million. Refer to Note 9, "Goodwill and Other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Goodwill Impairment Charge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third quarter of 2020, the Company recorded a goodwill impairment charge of $ 58 million related to the AIA goodwill reporting unit within our Measurement &amp; Control Solutions segment. The AIA reporting unit is comprised of our assessment services business (primarily the Pure acquisition) as well as our digital solutions business. The impairment resulted from management's updated forecast of future cash flows for the AIA businesses, which reflects significant negative volume impacts, primarily on our assessment services business, due to travel restrictions and site closures as a result of the COVID-19 pandemic. Our ongoing investment in the AIA businesses also continues to impact near term profitability. These factors drove a decrease in the fair value, based on a discounted cash flow valuation, of the AIA reporting unit that is below its carrying value as of the third quarter, requiring an impairment charge. Refer to Note 9, "Goodwill and Other Intangible Assets," for additional information.</w:t>
      </w:r>
    </w:p>
    <w:p>
      <w:pPr>
        <w:spacing w:after="0" w:line="9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third quarter of 2019, the Company recorded a goodwill impairment charge of $148 million related to the AIA goodwill reporting unit within our Measurement &amp; Control Solutions segment. The impairment resulted from a downward revision of forecasted future cash flows. Factors that contributed to the revised forecast in the third quarter include lower than expected results as compared to prior forecasts, largely as a result of slower-than-expected conversion of pipeline opportunities to revenue. Additionally, we have continued to invest in the AIA platform ahead of the adoption curve, which has also impacted the near term profitability of the business. These factors drove a decrease in the fair value, based on a discounted cash flow valuation, of the AIA reporting unit that is below its carrying value as of the third quarter, requiring an impairment charge. Refer to Note 9, "Goodwill and Other Intangible Assets,"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income during the third quarter of 2020 was $73 million, reflecting an increase of 563.6% compared to $11 million in the third quarter of 2019. Operating margin was 6.0% for the third quarter of 2020 versus 0.8% for the comparable period in 2019, an increase of 520 basis points. Operating margin benefited from decreases in special charges of $85 million and decreases in restructuring and realignment costs of $15 million as compared to the third quarter of 2019. Excluding the impact of these items, adjusted operating income was $158 million with an adjusted operating margin of 13.0% in the third quarter of 2020 as compared to adjusted operating income of $196 million with an adjusted operating margin of 15.1% in the third quarter of 2019. The decrease in adjusted operating margin was primarily due to cost inflation; unfavorable volume, impacted significantly by COVID-19; unfavorable mix; increased spending on strategic investments and increased inventory management costs. These impacts were partially offset by cost reductions from our productivity, restructuring and other cost saving initiatives.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income for the nine months ended September 30, 2020 was $188 million, reflecting a decrease of 35.4% compared to $291 million in 2019. Operating margin was 5.4% for the nine months ended September 30, 2020 versus 7.5% for the comparable period in 2019, a decrease of 210 basis points. Operating margin benefited from decreases in special charges of $78 million and decreases in restructuring and realignment costs of $4 million as compared to the prior year. Excluding the impact of these items, adjusted operating income was $336 million with an adjusted operating margin of 9.6% for the nine months ended September 30, 2020 as compared to adjusted operating income of $521 million with an adjusted operating margin of 13.4% in 2019. The decrease in adjusted operating margin was primarily due to unfavorable volume, impacted significantly by COVID-19; cost inflation; increased inventory management costs; unfavorable mix and increased spending on strategic investments. These impacts were partially offset by cost reductions from our productivity, restructuring and other cost saving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7" w:name="page48"/>
    <w:bookmarkEnd w:id="47"/>
    <w:p>
      <w:pPr>
        <w:ind w:right="200"/>
        <w:spacing w:after="0" w:line="261"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6"/>
                <w:szCs w:val="16"/>
                <w:color w:val="auto"/>
              </w:rPr>
            </w:pPr>
          </w:p>
        </w:tc>
      </w:tr>
      <w:tr>
        <w:trPr>
          <w:trHeight w:val="189"/>
        </w:trPr>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6"/>
                <w:szCs w:val="16"/>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5"/>
                <w:szCs w:val="15"/>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11"/>
              <w:spacing w:after="0"/>
              <w:rPr>
                <w:sz w:val="20"/>
                <w:szCs w:val="20"/>
                <w:color w:val="auto"/>
              </w:rPr>
            </w:pPr>
            <w:r>
              <w:rPr>
                <w:rFonts w:ascii="Arial" w:cs="Arial" w:eastAsia="Arial" w:hAnsi="Arial"/>
                <w:sz w:val="14"/>
                <w:szCs w:val="14"/>
                <w:color w:val="auto"/>
              </w:rPr>
              <w:t>Change</w:t>
            </w:r>
          </w:p>
        </w:tc>
      </w:tr>
      <w:tr>
        <w:trPr>
          <w:trHeight w:val="210"/>
        </w:trPr>
        <w:tc>
          <w:tcPr>
            <w:tcW w:w="38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Water Infrastructure</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38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89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201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(18.3) %</w:t>
            </w: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(130) bp</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i w:val="1"/>
                <w:iCs w:val="1"/>
                <w:color w:val="auto"/>
              </w:rPr>
              <w:t>(190) bp</w:t>
            </w:r>
          </w:p>
        </w:tc>
      </w:tr>
      <w:tr>
        <w:trPr>
          <w:trHeight w:val="229"/>
        </w:trPr>
        <w:tc>
          <w:tcPr>
            <w:tcW w:w="38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71"/>
              <w:spacing w:after="0"/>
              <w:rPr>
                <w:sz w:val="20"/>
                <w:szCs w:val="20"/>
                <w:color w:val="auto"/>
              </w:rPr>
            </w:pPr>
            <w:r>
              <w:rPr>
                <w:rFonts w:ascii="Arial" w:cs="Arial" w:eastAsia="Arial" w:hAnsi="Arial"/>
                <w:sz w:val="18"/>
                <w:szCs w:val="18"/>
                <w:color w:val="auto"/>
              </w:rPr>
              <w:t>14.3 %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71"/>
              <w:spacing w:after="0"/>
              <w:rPr>
                <w:sz w:val="20"/>
                <w:szCs w:val="20"/>
                <w:color w:val="auto"/>
              </w:rPr>
            </w:pPr>
            <w:r>
              <w:rPr>
                <w:rFonts w:ascii="Arial" w:cs="Arial" w:eastAsia="Arial" w:hAnsi="Arial"/>
                <w:sz w:val="18"/>
                <w:szCs w:val="18"/>
                <w:color w:val="auto"/>
              </w:rPr>
              <w:t>(16.0) %</w:t>
            </w:r>
          </w:p>
        </w:tc>
      </w:tr>
      <w:tr>
        <w:trPr>
          <w:trHeight w:val="223"/>
        </w:trPr>
        <w:tc>
          <w:tcPr>
            <w:tcW w:w="3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(18.1) %</w:t>
            </w:r>
          </w:p>
        </w:tc>
      </w:tr>
      <w:tr>
        <w:trPr>
          <w:trHeight w:val="230"/>
        </w:trPr>
        <w:tc>
          <w:tcPr>
            <w:tcW w:w="3820" w:type="dxa"/>
            <w:vAlign w:val="bottom"/>
          </w:tcPr>
          <w:p>
            <w:pPr>
              <w:ind w:left="62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18.5 %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19.6 %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(110) bp</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17.2 %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i w:val="1"/>
                <w:iCs w:val="1"/>
                <w:color w:val="auto"/>
              </w:rPr>
              <w:t>(200) bp</w:t>
            </w:r>
          </w:p>
        </w:tc>
      </w:tr>
      <w:tr>
        <w:trPr>
          <w:trHeight w:val="229"/>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Applied Water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56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(19.6) %</w:t>
            </w:r>
          </w:p>
        </w:tc>
      </w:tr>
      <w:tr>
        <w:trPr>
          <w:trHeight w:val="229"/>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(80) bp</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i w:val="1"/>
                <w:iCs w:val="1"/>
                <w:color w:val="auto"/>
              </w:rPr>
              <w:t>(170) bp</w:t>
            </w:r>
          </w:p>
        </w:tc>
      </w:tr>
      <w:tr>
        <w:trPr>
          <w:trHeight w:val="229"/>
        </w:trPr>
        <w:tc>
          <w:tcPr>
            <w:tcW w:w="38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71"/>
              <w:spacing w:after="0"/>
              <w:rPr>
                <w:sz w:val="20"/>
                <w:szCs w:val="20"/>
                <w:color w:val="auto"/>
              </w:rPr>
            </w:pPr>
            <w:r>
              <w:rPr>
                <w:rFonts w:ascii="Arial" w:cs="Arial" w:eastAsia="Arial" w:hAnsi="Arial"/>
                <w:sz w:val="18"/>
                <w:szCs w:val="18"/>
                <w:color w:val="auto"/>
              </w:rPr>
              <w:t>(33.3)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71"/>
              <w:spacing w:after="0"/>
              <w:rPr>
                <w:sz w:val="20"/>
                <w:szCs w:val="20"/>
                <w:color w:val="auto"/>
              </w:rPr>
            </w:pPr>
            <w:r>
              <w:rPr>
                <w:rFonts w:ascii="Arial" w:cs="Arial" w:eastAsia="Arial" w:hAnsi="Arial"/>
                <w:sz w:val="18"/>
                <w:szCs w:val="18"/>
                <w:color w:val="auto"/>
              </w:rPr>
              <w:t>(20.0) %</w:t>
            </w:r>
          </w:p>
        </w:tc>
      </w:tr>
      <w:tr>
        <w:trPr>
          <w:trHeight w:val="223"/>
        </w:trPr>
        <w:tc>
          <w:tcPr>
            <w:tcW w:w="3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(19.6) %</w:t>
            </w:r>
          </w:p>
        </w:tc>
      </w:tr>
      <w:tr>
        <w:trPr>
          <w:trHeight w:val="229"/>
        </w:trPr>
        <w:tc>
          <w:tcPr>
            <w:tcW w:w="3820" w:type="dxa"/>
            <w:vAlign w:val="bottom"/>
          </w:tcPr>
          <w:p>
            <w:pPr>
              <w:ind w:left="62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17.0 %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(110) bp</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16.4 %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i w:val="1"/>
                <w:iCs w:val="1"/>
                <w:color w:val="auto"/>
              </w:rPr>
              <w:t>(180) bp</w:t>
            </w:r>
          </w:p>
        </w:tc>
      </w:tr>
      <w:tr>
        <w:trPr>
          <w:trHeight w:val="230"/>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Measurement &amp; Control Solutions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382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b w:val="1"/>
                <w:bCs w:val="1"/>
                <w:color w:val="auto"/>
              </w:rPr>
              <w:t>(62)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(54.4)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color w:val="auto"/>
              </w:rPr>
              <w:t>(120)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27.7 %</w:t>
            </w:r>
          </w:p>
        </w:tc>
      </w:tr>
      <w:tr>
        <w:trPr>
          <w:trHeight w:val="229"/>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1,630 bp</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i w:val="1"/>
                <w:iCs w:val="1"/>
                <w:color w:val="auto"/>
              </w:rPr>
              <w:t>(390) bp</w:t>
            </w:r>
          </w:p>
        </w:tc>
      </w:tr>
      <w:tr>
        <w:trPr>
          <w:trHeight w:val="230"/>
        </w:trPr>
        <w:tc>
          <w:tcPr>
            <w:tcW w:w="3820" w:type="dxa"/>
            <w:vAlign w:val="bottom"/>
          </w:tcPr>
          <w:p>
            <w:pPr>
              <w:ind w:left="50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i w:val="1"/>
                <w:iCs w:val="1"/>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(75.0)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i w:val="1"/>
                <w:iCs w:val="1"/>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5.6 %</w:t>
            </w:r>
          </w:p>
        </w:tc>
      </w:tr>
      <w:tr>
        <w:trPr>
          <w:trHeight w:val="229"/>
        </w:trPr>
        <w:tc>
          <w:tcPr>
            <w:tcW w:w="3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i w:val="1"/>
                <w:iCs w:val="1"/>
                <w:color w:val="auto"/>
              </w:rPr>
              <w:t>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i w:val="1"/>
                <w:iCs w:val="1"/>
                <w:color w:val="auto"/>
              </w:rPr>
              <w:t>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(50.3) %</w:t>
            </w:r>
          </w:p>
        </w:tc>
      </w:tr>
      <w:tr>
        <w:trPr>
          <w:trHeight w:val="223"/>
        </w:trPr>
        <w:tc>
          <w:tcPr>
            <w:tcW w:w="3820" w:type="dxa"/>
            <w:vAlign w:val="bottom"/>
          </w:tcPr>
          <w:p>
            <w:pPr>
              <w:ind w:left="620"/>
              <w:spacing w:after="0"/>
              <w:rPr>
                <w:sz w:val="20"/>
                <w:szCs w:val="20"/>
                <w:color w:val="auto"/>
              </w:rPr>
            </w:pPr>
            <w:r>
              <w:rPr>
                <w:rFonts w:ascii="Arial" w:cs="Arial" w:eastAsia="Arial" w:hAnsi="Arial"/>
                <w:sz w:val="18"/>
                <w:szCs w:val="18"/>
                <w:color w:val="auto"/>
              </w:rPr>
              <w:t>Adjusted 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i w:val="1"/>
                <w:iCs w:val="1"/>
                <w:color w:val="auto"/>
              </w:rPr>
              <w:t>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(69.2)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i w:val="1"/>
                <w:iCs w:val="1"/>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(103.0) %</w:t>
            </w:r>
          </w:p>
        </w:tc>
      </w:tr>
      <w:tr>
        <w:trPr>
          <w:trHeight w:val="229"/>
        </w:trPr>
        <w:tc>
          <w:tcPr>
            <w:tcW w:w="3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(640) bp</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i w:val="1"/>
                <w:iCs w:val="1"/>
                <w:color w:val="auto"/>
              </w:rPr>
              <w:t>(900) bp</w:t>
            </w: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b w:val="1"/>
                <w:bCs w:val="1"/>
                <w:color w:val="auto"/>
              </w:rPr>
              <w:t>Corporate and other</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(37)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(7.5) %</w:t>
            </w:r>
          </w:p>
        </w:tc>
      </w:tr>
      <w:tr>
        <w:trPr>
          <w:trHeight w:val="230"/>
        </w:trPr>
        <w:tc>
          <w:tcPr>
            <w:tcW w:w="38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spacing w:after="0"/>
              <w:rPr>
                <w:sz w:val="19"/>
                <w:szCs w:val="19"/>
                <w:color w:val="auto"/>
              </w:rPr>
            </w:pPr>
          </w:p>
        </w:tc>
        <w:tc>
          <w:tcPr>
            <w:tcW w:w="11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spacing w:after="0"/>
              <w:rPr>
                <w:sz w:val="19"/>
                <w:szCs w:val="19"/>
                <w:color w:val="auto"/>
              </w:rPr>
            </w:pPr>
          </w:p>
        </w:tc>
        <w:tc>
          <w:tcPr>
            <w:tcW w:w="1120" w:type="dxa"/>
            <w:vAlign w:val="bottom"/>
            <w:tcBorders>
              <w:bottom w:val="single" w:sz="8" w:color="CCEEFF"/>
            </w:tcBorders>
          </w:tcPr>
          <w:p>
            <w:pPr>
              <w:jc w:val="right"/>
              <w:ind w:right="371"/>
              <w:spacing w:after="0"/>
              <w:rPr>
                <w:sz w:val="20"/>
                <w:szCs w:val="20"/>
                <w:color w:val="auto"/>
              </w:rPr>
            </w:pPr>
            <w:r>
              <w:rPr>
                <w:rFonts w:ascii="Arial" w:cs="Arial" w:eastAsia="Arial" w:hAnsi="Arial"/>
                <w:sz w:val="18"/>
                <w:szCs w:val="18"/>
                <w:color w:val="auto"/>
              </w:rPr>
              <w:t>NM</w:t>
            </w:r>
          </w:p>
        </w:tc>
      </w:tr>
      <w:tr>
        <w:trPr>
          <w:trHeight w:val="223"/>
        </w:trPr>
        <w:tc>
          <w:tcPr>
            <w:tcW w:w="3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Adjusted operating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(12.5) %</w:t>
            </w: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b w:val="1"/>
                <w:bCs w:val="1"/>
                <w:color w:val="auto"/>
              </w:rPr>
              <w:t>Total Xylem</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563.6 %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(35.4) %</w:t>
            </w: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0.8 %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520 bp</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7.5 %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i w:val="1"/>
                <w:iCs w:val="1"/>
                <w:color w:val="auto"/>
              </w:rPr>
              <w:t>(210) bp</w:t>
            </w:r>
          </w:p>
        </w:tc>
      </w:tr>
      <w:tr>
        <w:trPr>
          <w:trHeight w:val="230"/>
        </w:trPr>
        <w:tc>
          <w:tcPr>
            <w:tcW w:w="3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(5.6) %</w:t>
            </w:r>
          </w:p>
        </w:tc>
      </w:tr>
      <w:tr>
        <w:trPr>
          <w:trHeight w:val="230"/>
        </w:trPr>
        <w:tc>
          <w:tcPr>
            <w:tcW w:w="38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71"/>
              <w:spacing w:after="0"/>
              <w:rPr>
                <w:sz w:val="20"/>
                <w:szCs w:val="20"/>
                <w:color w:val="auto"/>
              </w:rPr>
            </w:pPr>
            <w:r>
              <w:rPr>
                <w:rFonts w:ascii="Arial" w:cs="Arial" w:eastAsia="Arial" w:hAnsi="Arial"/>
                <w:sz w:val="18"/>
                <w:szCs w:val="18"/>
                <w:color w:val="auto"/>
              </w:rPr>
              <w:t>(54.8)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71"/>
              <w:spacing w:after="0"/>
              <w:rPr>
                <w:sz w:val="20"/>
                <w:szCs w:val="20"/>
                <w:color w:val="auto"/>
              </w:rPr>
            </w:pPr>
            <w:r>
              <w:rPr>
                <w:rFonts w:ascii="Arial" w:cs="Arial" w:eastAsia="Arial" w:hAnsi="Arial"/>
                <w:sz w:val="18"/>
                <w:szCs w:val="18"/>
                <w:color w:val="auto"/>
              </w:rPr>
              <w:t>(49.1) %</w:t>
            </w:r>
          </w:p>
        </w:tc>
      </w:tr>
      <w:tr>
        <w:trPr>
          <w:trHeight w:val="223"/>
        </w:trPr>
        <w:tc>
          <w:tcPr>
            <w:tcW w:w="3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(35.5) %</w:t>
            </w:r>
          </w:p>
        </w:tc>
      </w:tr>
      <w:tr>
        <w:trPr>
          <w:trHeight w:val="239"/>
        </w:trPr>
        <w:tc>
          <w:tcPr>
            <w:tcW w:w="3820" w:type="dxa"/>
            <w:vAlign w:val="bottom"/>
          </w:tcPr>
          <w:p>
            <w:pPr>
              <w:ind w:left="62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13.0 %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15.1 %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(210) bp</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13.4 %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i w:val="1"/>
                <w:iCs w:val="1"/>
                <w:color w:val="auto"/>
              </w:rPr>
              <w:t>(380) bp</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Operating income for our Water Infrastructure segment decreased $8 million, or 8.2%, for the third quarter of 2020 compared to the prior year, with operating margin also decreasing from 18.3% to 17.0%. Operating margin was negatively impacted by a slight increase in restructuring and realignment costs of $1 million in 2020. Excluding these restructuring and realignment costs, adjusted operating income decreased $7 million, or 6.7%, with adjusted operating margin decreasing from 19.6% to 18.5%. The decrease in adjusted operating margin for the quarter was primarily due to cost inflation; unfavorable mix; increased inventory management costs; unfavorable volume, impacted significantly by COVID-19, and increased spending on strategic investments. These impacts were partially offset by cost reductions from our productivity and other cost saving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8" w:name="page49"/>
    <w:bookmarkEnd w:id="48"/>
    <w:p>
      <w:pPr>
        <w:ind w:right="120"/>
        <w:spacing w:after="0" w:line="252" w:lineRule="auto"/>
        <w:rPr>
          <w:sz w:val="20"/>
          <w:szCs w:val="20"/>
          <w:color w:val="auto"/>
        </w:rPr>
      </w:pPr>
      <w:r>
        <w:rPr>
          <w:rFonts w:ascii="Arial" w:cs="Arial" w:eastAsia="Arial" w:hAnsi="Arial"/>
          <w:sz w:val="18"/>
          <w:szCs w:val="18"/>
          <w:color w:val="auto"/>
        </w:rPr>
        <w:t>For the nine months ended September 30, 2020, operating income decreased $45 million, or 18.3%, as compared to the prior year, with operating margin also decreasing from 15.6% to 13.7%. Operating margin benefited from a decrease in restructuring and realignment costs of $4 million in 2020. Excluding these restructuring and realignment costs, adjusted operating income decreased $49 million, or 18.1%, with adjusted operating margin decreasing from 17.2% to 15.2%. The decrease in adjusted operating margin during the period was primarily due to cost inflation, unfavorable volume, impacted significantly by COVID-19; unfavorable mix; increased inventory management costs; increased spending on strategic investments, negative currency impacts and other lesser impacts. These impacts were partially offset cost reductions from our productivity and other cost saving initiatives and price realization.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income for our Applied Water segment decreased $5 million, or 8.2%, for the third quarter of 2020 compared to the prior year, with operating margin also decreasing from 16.2% to 15.4%. Operating margin benefited from a slight decrease in restructuring and realignment costs of $1 million in 2020. Excluding these restructuring and realignment costs, adjusted operating income decreased $6 million, or 9.4%, with adjusted operating margin decreasing from 17.0% to 15.9%. The decrease in adjusted operating margin for the quarter was primarily due to cost inflation; unfavorable volume, impacted significantly by COVID-19; increased spending on strategic investments and other various lesser impacts. These impacts were partially offset by cost reductions from our productivity and other cost saving initiatives and price realization.</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nine months ended September 30, 2020, operating income decreased $35 million, or 19.6%, as compared to the prior year, with operating margin also decreasing from 15.6% to 13.9%. Operating margin benefited from a slight decrease in restructuring and realignment costs of $2 million in 2020. Excluding these restructuring and realignment costs, adjusted operating income decreased $37 million, or 19.6%, with adjusted operating margin decreasing from 16.4% to 14.6%. The decrease in adjusted operating margin during the period was primarily due to unfavorable volume, impacted significantly by COVID-19; cost inflation and increased inventory management costs. These impacts were partially offset by cost reductions from our productivity and other cost saving initiatives.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loss for our Measurement &amp; Control Solutions segment decreased $74 million, or 54.4%, for the third quarter of 2020 compared to the prior year, resulting in an operating loss of $62 million, with operating margin increasing from (35.0)% to (18.7)%. Operating margin benefited from decreases in special charges of $86 million and decreases in restructuring and realignment costs of $15 million in 2020. Excluding these items, adjusted operating income decreased $27 million, or 69.2%, with adjusted operating margin decreasing from 10.0% to 3.6%. The decrease in adjusted operating margin for the quarter was primarily due to unfavorable volume, impacted significantly by COVID-19; unfavorable mix; cost inflation; increased quality management costs; increased spending on strategic investments and other various lesser impacts. These impacts were partially offset by cost reductions from our productivity and other cost saving initiatives and price realization.</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nine months ended September 30, 2020, operating loss increased $26 million, or 27.7%, as compared to the prior year, resulting in an operating loss of $120 million, with operating margin also decreasing from (8.1)% to (12.0)%. Operating margin benefited from a decrease in special charges of $80 million, which was slightly offset by increased restructuring and realignment costs of $2 million in 2020. Excluding these items, adjusted operating income decreased $104 million, or 100.3%, resulting in an adjusted operating loss of $3 million, with adjusted operating margin decreasing from 8.7% to (0.3)%. The decrease in adjusted operating margin during the period was driven by unfavorable volume, impacted significantly by COVID-19; cost inflation; increased quality management costs, primarily due to a $15 million warranty charge recorded during the first quarter for a firmware issue in some of our meters; unfavorable mix and increased spending on strategic investments. These impacts were partially offset by cost reductions from our productivity and other cost saving initiatives.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3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Operating loss for corporate and other decreased $ 1 million, or 9.1%, for the third quarter of 2020 compared to the prior year period. For the nine months ended September 30, 2020, operating loss for corporate and other decreased $3 million, or 7.5%, compared to the same prior year period. The decreases in cost are the result of cost saving actions taken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Interest expense was $22 million and $56 million for the three and nine months ended September 30, 2020 and $16 million and $52 million for the three and nine months ended September 30, 2019. The increase in interest expense for both periods is primarily driven by the issuance of our Green Bond during the second quarter of 2020. See Note 12, "Credit Facilities and Debt", of our condensed consolidated financial statements for a description of our credit facilities and long-term debt and related interest.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income tax provision for the three months ended September 30, 2020 was $13 million resulting in an effective tax rate of 26.2%, compared to a benefit of $77 million resulting in an effective tax rate of 623.6% (on a pre-tax loss for the period) for the same period in 2019. The income tax provision for the nine months ended September 30, 2020 was $21 million resulting in an effective tax rate of 16.6%, compared to a benefit of $45 million resulting in an effective tax rate of (18.9)% for the same period in 2019. The effective tax rate for the three and nine month periods ended September 30, 2020 differs from the United States federal statutory rate primarily due to the mix of earnings in jurisdictions, partially offset by the Global Intangible Low-Taxed Income ("GILTI") inclusion and goodwill impairment charge. Additionally, the effective tax rate for the three and nine month periods ended September 30, 2020 differs from the same periods in 2019 due primarily to the impact of the changes in tax law in Switzerland in 2019 along with the impact of the larger goodwill impairment charge on income before taxes in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Other comprehensive income was $13 million for the three months ended September 30, 2020 compared to a loss of $37 million for the same period in 2019. Foreign currency translation contributed favorable impacts during the quarter of $10 million, driven primarily by the strengthening of the Euro, the British Pound, the Chinese Yuan, the Polish Zloty and various other currencies as compared to the U.S. Dollar in 2020 versus the weakening of these currencies in the same prior year period. These favorable currency translation impacts were partially offset by the movement in our Euro net investment hedges during the quarter. In addition to net favorable foreign currency translation impacts, there was a favorable impact from the movement of tax on the net investment hedges as compared to the prior year of $31 million during the quarter. Favorable impacts from pension activity and gain in derivative hedge agreements during the quarter also contributed to the increase in in other comprehensive income during the quarter.</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the nine months ended September 30, 2020, other comprehensive loss was $22 million compared to a loss of $ 28 million for the same period in 2019. Foreign currency translation contributed unfavorable impacts during the period of $44 million, driven primarily by the movement in our Euro net investment hedges and the weakening of the South African Rand as compared to the U.S. Dollar, which was greater in 2020 than the weakening in the prior year. These unfavorable currency translation impacts were partially offset by the strengthening of the Euro and the Chinese Yuan as compared to the U.S. Dollar in 2020 versus the weakening of these currencies in the same prior year period. Net unfavorable currency translation impacts were partially offset by the favorable impact from the movement of tax on the net investment hedges as compared to the prior year of $27 million, favorable impacts from gain in derivative hedge agreements of $16 million and favorable pension activity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3"/>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Foreign exchange (a)</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6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40" w:right="280" w:hanging="332"/>
        <w:spacing w:after="0" w:line="260"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impact is primarily due to the strengthening of the Euro, Chinese Yuan and various other currencies against the U.S. Dollar. These impacts were partially offset by the weakness of the Canadian Dollar and the Russian Ruble against the U.S. Dollar.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provided by operating activities was $454 million for the nine months ended September 30, 2020 as compared to $451 million in the comparable prior year period. This slight increase was primarily driven by a significant decrease in cash paid for taxes during the current year as compared to the prior year, partially from delayed timing of payments related to COVID-19 related concessions, as well as increases in accrued expenses, mostly due to timing, and improved working capital, which were largely offset by a decrease in cash from earnings.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used in investing activities was $326 million for the nine months ended September 30, 2020 as compared to $185 million in the comparable prior year period. This increase in cash used of $141 million was mainly driven by $200 million of cash paid for time deposit investments during 2020, partially offset by lower spending on capital expenditures compared to the prior year and an $18 million reduction in spending on acquisitions.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generated by financing activities was $550 million for the nine months ended September 30, 2020 as compared to cash used of $99 million in the comparable prior year period. This net increase in cash used by financing activities during the period was primarily driven by the issuance of our Green Bond and higher levels of short-term debt during the year, partially offset by the repayment of short-term debt during 2020 and an increase in share repurchase activity of $22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As a result of uncertainties caused by the COVID-19 pandemic, we continue to evaluate aspects of our spending, including capital expenditures, strategic investments and dividends. Additionally, we have committed to reducing our annual capital expenditures. We will continue to evaluate aspects of our spending as the year progresses. We have elected to utilize certain federal, state and foreign tax programs related to timing of tax payments and deductions to further manage our liquidity, and the liabilities associated with these programs are appropriately classified in the applicable "Accrued and other current liabilities" or "Other non-current accrued liabilities" accounts in our Condensed Consolidated Balance Sheets. We will continue to consider available federal, state and foreign tax programs.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Historically, we have generated operating cash flow sufficient to fund our primary cash needs. As the uncertainty and severity associated with the global spread of the COVID-19 pandemic continued to grow during the year, Xylem issued Senior Notes of $1 billion in aggregate principal on June 26, 2020. The primary long-term intention of incurring this debt is to fund green projects across our business segments, as well as manage liquidity risk and increase flexibility, as the duration of the economic effects of the pandemic are uncertain. See Note 12, "Credit Facilities and Debt", of our condensed consolidated financial statements for a description of our credit facilities and long-term debt. Xylem's liquidity position has continued to evolve favorably from an operational perspective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ind w:right="20"/>
        <w:spacing w:after="0" w:line="252" w:lineRule="auto"/>
        <w:rPr>
          <w:sz w:val="20"/>
          <w:szCs w:val="20"/>
          <w:color w:val="auto"/>
        </w:rPr>
      </w:pPr>
      <w:r>
        <w:rPr>
          <w:rFonts w:ascii="Arial" w:cs="Arial" w:eastAsia="Arial" w:hAnsi="Arial"/>
          <w:sz w:val="18"/>
          <w:szCs w:val="18"/>
          <w:color w:val="auto"/>
        </w:rPr>
        <w:t>during the third quarter of 2020, and we will continue to monitor the economic effects of the COVID-19 pandemic and its impact on the Company's future operating cash flows. 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w:t>
      </w:r>
    </w:p>
    <w:p>
      <w:pPr>
        <w:spacing w:after="0" w:line="97"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We monitor our global funding requirements and seek to meet our liquidity needs on a cost effective basis. As of September 30, 2020, the COVID-19 pandemic has not materially impacted our borrowing costs or other costs of capital, however the future impact of the COVID-19 pandemic is uncertain and may increase our borrowing costs and other costs of capital and otherwise adversely affect our business, results of operations, financial condition and liquidity.</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considered the impacts of the COVID-19 pandemic on our liquidity and capital resources and do not currently expect it to impact our ability to meet future liquidity needs or continue to comply with debt covenants. To provide for continued access to the full capacity of our credit facilities going forward, Xylem entered into Amendment No. 1 to the 2019 Credit Facility on June 22, 2020 which modified the covenant calculation methodology through the quarter ending September 30, 2021 and restricts stock repurchases until March 31, 2021, except for shares of common stock in an amount not to exceed the number of shares issued after the date of the Amendment, subject to customary exceptions. See Note 12, "Credit Facilities and Debt", of our condensed consolidated financial statements for a description of our credit facilities and long-term debt.</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addition, our existing committed credit facilities and access to the public debt markets would provide further liquidity if required. Currently, we have available liquidity of approximately $ 2.4 billion, consisting of $1.4 billion of cash, $ 800 million of available credit facilities and $200 million in short-term investments as disclosed in Note 12, "Credit Facilities and Debt", of our condensed consolidated financial statements. Our debt repayment obligations in 2020 consist of $40 million in outstanding commercial paper. Our next long term debt maturity is October 2021.</w:t>
      </w:r>
    </w:p>
    <w:p>
      <w:pPr>
        <w:spacing w:after="0" w:line="10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Risk related to these items are described in our risk factor disclosures referenced under “Item 1A. Risk Factors" in our 2019 Annual Report and "Item 1A. Risk Factors" in the Company's Quarterly Report on Form 10-Q for the quarter ended March 31,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3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Non-United States Operations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generated approximately 54% and 52% of our revenue from non-United States operations for the three and nine months ended September 30, 2020, respectively, and approximately 51% for both the three and nine month periods ended September 30, 2019. As we continue to grow our operations in the emerging markets and elsewhere outside of the United States, we expect to continue to generate significant revenue from non-United States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United States and other international subsidiaries when we believe it is cost effective to do so. We continually review our domestic and foreign cash profile, expected future cash generation and investment opportunities and reassess whether there is a need to repatriate funds held internationally to support our United States operations. As of September 30, 2020, we have provided a deferred tax liability of $6 million for net foreign withholding taxes and state income taxes on $503 million of earnings expected to be repatriated to the United States parent as deemed necessary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particularly at this time and moving forward given the uncertainty around the magnitude and duration of the COVID-19 pandemic. Management’s Discussion and Analysis of Financial Condition and Results of Operations in the 2019 Annual Report describes the critical accounting estimates used in preparation of the condensed consolidated financial statements. Actual results in these areas could differ from management’s estimates. Other than as discussed below, there have been no significant changes in the information concerning our critical accounting estimates as stated in our 2019 Annual Report.</w:t>
      </w:r>
    </w:p>
    <w:p>
      <w:pPr>
        <w:spacing w:after="0" w:line="10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During the fourth quarter of 2019 we completed our annual goodwill assessment. Our 2019 impairment analysis indicated that the fair value of the AIA goodwill reporting unit, within our Measurement &amp; Control Solutions segment, exceeded its carrying value by less than 20%. The AIA reporting unit is comprised of our assessment services business (primarily the Pure acquisition) as well as our digital solutions business. We used the income approach to determine the fair value of our goodwill reporting units. Under the income approach, the fair value of the reporting units was based on the present value of the estimated cash flows that the reporting unit is expected to generate over its remaining life. Cash flow projections were based on management’s estimates of revenue growth rates and operating margins, taking into consideration industry and market conditions. The discount rate was based on the weighted average cost of capital appropriate for the reporting unit.</w:t>
      </w:r>
    </w:p>
    <w:p>
      <w:pPr>
        <w:spacing w:after="0" w:line="8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third quarter of 2020, management updated forecasts of future cash flows for the AIA businesses, which reflect significant negative volume impacts from the COVID-19 pandemic, primarily on our assessment services business. Our ongoing investment in the AIA businesses also continues to impact near term profitability. Based on these factors we determined that there were indicators that the AIA reporting unit’s goodwill may be impaired, and accordingly, we performed an interim goodwill impairment test as of July 1, 2020. The results of the impairment test showed that the fair value of the AIA reporting unit was lower than the carrying value, resulting in a $58 million goodwill impairment charge. As of September 30, 2020 the remaining goodwill balance in our AIA reporting unit after recording the goodwill impairment charge was $112 million.</w:t>
      </w:r>
    </w:p>
    <w:p>
      <w:pPr>
        <w:spacing w:after="0" w:line="9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Also, during the third quarter of 2020, due to the factors discussed above, we assessed whether the carrying amounts of the AIA reporting unit’s long-lived assets may not be recoverable and therefore impaired. Our assessment resulted in an impairment charge of $11 million, primarily related to software and proprietary technology. The charge was calculated using an income approach.</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fair value of our reporting units and intangible assets is judgmental in nature and involves the use of significant estimates and assumptions, particularly related to future operating results and cash flows. These estimates and assumptions include, but are not limited to, revenue growth rates and operating margins used to calculate projected future cash flows, risk-adjusted discount rates, and future economic and market conditions. In addition, the identification of reporting units and the allocation of assets and liabilities to the reporting units when determining the carrying value of each reporting unit also require judgment. The uncertainty of the future impact of the COVID-19 pandemic may also contribute to further deterioration of our future cash flows. If we do not achieve our forecasts it is possible that the goodwill of the AIA reporting unit could be deemed to be impaired again in a future period.</w:t>
      </w:r>
    </w:p>
    <w:p>
      <w:pPr>
        <w:spacing w:after="0" w:line="9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risks and potential impacts of COVID-19 on the fair value of our assets are included in our risk factor disclosures referenced under “Item 1A. Risk Factors" in the Company's Quarterly Report on Form 10-Q for the quarter ended March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Note 2, "Recently Issued Accounting Pronouncements", to the condensed consolidated financial statements for a complete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3" w:name="page54"/>
    <w:bookmarkEnd w:id="53"/>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2019 Annual Report.</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and personal injury claims, privacy, employment, labor and pension, government contract issues and commercial or contractual disputes. See Note 18, "Commitments and Contingencies", to the condensed consolidated financial statements for further information and any updates.</w:t>
      </w:r>
    </w:p>
    <w:p>
      <w:pPr>
        <w:spacing w:after="0" w:line="200" w:lineRule="exact"/>
        <w:rPr>
          <w:sz w:val="20"/>
          <w:szCs w:val="20"/>
          <w:color w:val="auto"/>
        </w:rPr>
      </w:pPr>
    </w:p>
    <w:p>
      <w:pPr>
        <w:spacing w:after="0" w:line="22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There have been no material changes from the risk factors previously disclosed in "Item 1A. Risk Factors" of our 2019 Annual Report and in "Item 1A. Risk Factors" in the Company's Quarterly Report on Form 10-Q for the quarter ended March 31, 2020.</w:t>
      </w:r>
    </w:p>
    <w:p>
      <w:pPr>
        <w:spacing w:after="0" w:line="200" w:lineRule="exact"/>
        <w:rPr>
          <w:sz w:val="20"/>
          <w:szCs w:val="20"/>
          <w:color w:val="auto"/>
        </w:rPr>
      </w:pPr>
    </w:p>
    <w:p>
      <w:pPr>
        <w:spacing w:after="0" w:line="21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3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September 30,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60" w:type="dxa"/>
            <w:vAlign w:val="bottom"/>
          </w:tcPr>
          <w:p>
            <w:pPr>
              <w:jc w:val="center"/>
              <w:ind w:left="21"/>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2060" w:type="dxa"/>
            <w:vAlign w:val="bottom"/>
          </w:tcPr>
          <w:p>
            <w:pPr>
              <w:jc w:val="center"/>
              <w:ind w:left="21"/>
              <w:spacing w:after="0" w:line="13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780" w:type="dxa"/>
            <w:vAlign w:val="bottom"/>
            <w:vMerge w:val="continue"/>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2060" w:type="dxa"/>
            <w:vAlign w:val="bottom"/>
          </w:tcPr>
          <w:p>
            <w:pPr>
              <w:jc w:val="center"/>
              <w:ind w:left="1"/>
              <w:spacing w:after="0" w:line="135"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 OR</w:t>
            </w:r>
          </w:p>
        </w:tc>
        <w:tc>
          <w:tcPr>
            <w:tcW w:w="2060" w:type="dxa"/>
            <w:vAlign w:val="bottom"/>
          </w:tcPr>
          <w:p>
            <w:pPr>
              <w:jc w:val="center"/>
              <w:ind w:left="1"/>
              <w:spacing w:after="0" w:line="13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6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7/1/20 - 7/31/20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center"/>
              <w:ind w:left="21"/>
              <w:spacing w:after="0"/>
              <w:rPr>
                <w:sz w:val="20"/>
                <w:szCs w:val="20"/>
                <w:color w:val="auto"/>
              </w:rPr>
            </w:pPr>
            <w:r>
              <w:rPr>
                <w:rFonts w:ascii="Arial" w:cs="Arial" w:eastAsia="Arial" w:hAnsi="Arial"/>
                <w:sz w:val="18"/>
                <w:szCs w:val="18"/>
                <w:b w:val="1"/>
                <w:bCs w:val="1"/>
                <w:color w:val="auto"/>
                <w:w w:val="99"/>
              </w:rPr>
              <w:t>$288</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8/1/20 - 8/31/20</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21"/>
              <w:spacing w:after="0"/>
              <w:rPr>
                <w:sz w:val="20"/>
                <w:szCs w:val="20"/>
                <w:color w:val="auto"/>
              </w:rPr>
            </w:pPr>
            <w:r>
              <w:rPr>
                <w:rFonts w:ascii="Arial" w:cs="Arial" w:eastAsia="Arial" w:hAnsi="Arial"/>
                <w:sz w:val="18"/>
                <w:szCs w:val="18"/>
                <w:b w:val="1"/>
                <w:bCs w:val="1"/>
                <w:color w:val="auto"/>
                <w:w w:val="99"/>
              </w:rPr>
              <w:t>$288</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9/1/20 - 9/30/20</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center"/>
              <w:ind w:left="21"/>
              <w:spacing w:after="0"/>
              <w:rPr>
                <w:sz w:val="20"/>
                <w:szCs w:val="20"/>
                <w:color w:val="auto"/>
              </w:rPr>
            </w:pPr>
            <w:r>
              <w:rPr>
                <w:rFonts w:ascii="Arial" w:cs="Arial" w:eastAsia="Arial" w:hAnsi="Arial"/>
                <w:sz w:val="18"/>
                <w:szCs w:val="18"/>
                <w:b w:val="1"/>
                <w:bCs w:val="1"/>
                <w:color w:val="auto"/>
                <w:w w:val="99"/>
              </w:rPr>
              <w:t>$288</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400"/>
        <w:spacing w:after="0" w:line="260"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8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13" w:lineRule="exact"/>
        <w:rPr>
          <w:rFonts w:ascii="Arial" w:cs="Arial" w:eastAsia="Arial" w:hAnsi="Arial"/>
          <w:sz w:val="16"/>
          <w:szCs w:val="16"/>
          <w:color w:val="auto"/>
        </w:rPr>
      </w:pPr>
    </w:p>
    <w:p>
      <w:pPr>
        <w:ind w:left="340" w:right="40" w:hanging="332"/>
        <w:spacing w:after="0" w:line="251"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this program during the three months ended September 30, 2020. There are up to $288 million in shares that may still be purchased under this plan as of September 30, 2020.</w:t>
      </w:r>
    </w:p>
    <w:p>
      <w:pPr>
        <w:spacing w:after="0" w:line="31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XYLEM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512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526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5120" w:type="dxa"/>
            <w:vAlign w:val="bottom"/>
            <w:tcBorders>
              <w:bottom w:val="single" w:sz="8" w:color="auto"/>
            </w:tcBorders>
            <w:vMerge w:val="continue"/>
          </w:tcPr>
          <w:p>
            <w:pPr>
              <w:spacing w:after="0"/>
              <w:rPr>
                <w:sz w:val="15"/>
                <w:szCs w:val="15"/>
                <w:color w:val="auto"/>
              </w:rPr>
            </w:pPr>
          </w:p>
        </w:tc>
        <w:tc>
          <w:tcPr>
            <w:tcW w:w="5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00" w:type="dxa"/>
            <w:vAlign w:val="bottom"/>
          </w:tcPr>
          <w:p>
            <w:pPr>
              <w:jc w:val="cente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3.1</w:t>
              </w:r>
            </w:hyperlink>
          </w:p>
        </w:tc>
        <w:tc>
          <w:tcPr>
            <w:tcW w:w="5120" w:type="dxa"/>
            <w:vAlign w:val="bottom"/>
          </w:tcPr>
          <w:p>
            <w:pPr>
              <w:ind w:left="80"/>
              <w:spacing w:after="0"/>
              <w:rPr>
                <w:sz w:val="20"/>
                <w:szCs w:val="20"/>
                <w:color w:val="auto"/>
              </w:rPr>
            </w:pPr>
            <w:r>
              <w:rPr>
                <w:rFonts w:ascii="Arial" w:cs="Arial" w:eastAsia="Arial" w:hAnsi="Arial"/>
                <w:sz w:val="18"/>
                <w:szCs w:val="18"/>
                <w:color w:val="auto"/>
              </w:rPr>
              <w:t>Fourth Amended and Restated Articles of Incorporation of</w:t>
            </w:r>
          </w:p>
        </w:tc>
        <w:tc>
          <w:tcPr>
            <w:tcW w:w="5260" w:type="dxa"/>
            <w:vAlign w:val="bottom"/>
          </w:tcPr>
          <w:p>
            <w:pPr>
              <w:ind w:left="6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Xylem Inc.</w:t>
            </w:r>
          </w:p>
        </w:tc>
        <w:tc>
          <w:tcPr>
            <w:tcW w:w="5260" w:type="dxa"/>
            <w:vAlign w:val="bottom"/>
          </w:tcPr>
          <w:p>
            <w:pPr>
              <w:ind w:left="60"/>
              <w:spacing w:after="0"/>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2"/>
        </w:trPr>
        <w:tc>
          <w:tcPr>
            <w:tcW w:w="800" w:type="dxa"/>
            <w:vAlign w:val="bottom"/>
          </w:tcPr>
          <w:p>
            <w:pPr>
              <w:jc w:val="center"/>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3.2</w:t>
              </w:r>
            </w:hyperlink>
          </w:p>
        </w:tc>
        <w:tc>
          <w:tcPr>
            <w:tcW w:w="5120" w:type="dxa"/>
            <w:vAlign w:val="bottom"/>
          </w:tcPr>
          <w:p>
            <w:pPr>
              <w:ind w:left="80"/>
              <w:spacing w:after="0"/>
              <w:rPr>
                <w:sz w:val="20"/>
                <w:szCs w:val="20"/>
                <w:color w:val="auto"/>
              </w:rPr>
            </w:pPr>
            <w:r>
              <w:rPr>
                <w:rFonts w:ascii="Arial" w:cs="Arial" w:eastAsia="Arial" w:hAnsi="Arial"/>
                <w:sz w:val="18"/>
                <w:szCs w:val="18"/>
                <w:color w:val="auto"/>
              </w:rPr>
              <w:t>Fourth Amended and Restated By-laws of Xylem Inc.</w:t>
            </w:r>
          </w:p>
        </w:tc>
        <w:tc>
          <w:tcPr>
            <w:tcW w:w="5260" w:type="dxa"/>
            <w:vAlign w:val="bottom"/>
          </w:tcPr>
          <w:p>
            <w:pPr>
              <w:ind w:left="60"/>
              <w:spacing w:after="0"/>
              <w:rPr>
                <w:sz w:val="20"/>
                <w:szCs w:val="20"/>
                <w:color w:val="auto"/>
              </w:rPr>
            </w:pPr>
            <w:r>
              <w:rPr>
                <w:rFonts w:ascii="Arial" w:cs="Arial" w:eastAsia="Arial" w:hAnsi="Arial"/>
                <w:sz w:val="18"/>
                <w:szCs w:val="18"/>
                <w:color w:val="auto"/>
              </w:rPr>
              <w:t>Incorporated by reference to Exhibit 3.2 of Xylem Inc.’s Form 8-K</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83"/>
        </w:trPr>
        <w:tc>
          <w:tcPr>
            <w:tcW w:w="800" w:type="dxa"/>
            <w:vAlign w:val="bottom"/>
          </w:tcPr>
          <w:p>
            <w:pPr>
              <w:jc w:val="center"/>
              <w:spacing w:after="0"/>
              <w:rPr>
                <w:rFonts w:ascii="Arial" w:cs="Arial" w:eastAsia="Arial" w:hAnsi="Arial"/>
                <w:sz w:val="18"/>
                <w:szCs w:val="18"/>
                <w:u w:val="single" w:color="auto"/>
                <w:color w:val="0000FF"/>
                <w:w w:val="96"/>
              </w:rPr>
            </w:pPr>
            <w:hyperlink w:anchor="page58">
              <w:r>
                <w:rPr>
                  <w:rFonts w:ascii="Arial" w:cs="Arial" w:eastAsia="Arial" w:hAnsi="Arial"/>
                  <w:sz w:val="18"/>
                  <w:szCs w:val="18"/>
                  <w:u w:val="single" w:color="auto"/>
                  <w:color w:val="0000FF"/>
                  <w:w w:val="96"/>
                </w:rPr>
                <w:t>10.1</w:t>
              </w:r>
            </w:hyperlink>
          </w:p>
        </w:tc>
        <w:tc>
          <w:tcPr>
            <w:tcW w:w="5120" w:type="dxa"/>
            <w:vAlign w:val="bottom"/>
          </w:tcPr>
          <w:p>
            <w:pPr>
              <w:ind w:left="80"/>
              <w:spacing w:after="0"/>
              <w:rPr>
                <w:sz w:val="20"/>
                <w:szCs w:val="20"/>
                <w:color w:val="auto"/>
              </w:rPr>
            </w:pPr>
            <w:r>
              <w:rPr>
                <w:rFonts w:ascii="Arial" w:cs="Arial" w:eastAsia="Arial" w:hAnsi="Arial"/>
                <w:sz w:val="18"/>
                <w:szCs w:val="18"/>
                <w:color w:val="auto"/>
              </w:rPr>
              <w:t>Xylem Annual Incentive Plan for the Senior Leadership Team</w:t>
            </w:r>
          </w:p>
        </w:tc>
        <w:tc>
          <w:tcPr>
            <w:tcW w:w="526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120" w:type="dxa"/>
            <w:vAlign w:val="bottom"/>
          </w:tcPr>
          <w:p>
            <w:pPr>
              <w:ind w:left="80"/>
              <w:spacing w:after="0" w:line="202" w:lineRule="exact"/>
              <w:rPr>
                <w:sz w:val="20"/>
                <w:szCs w:val="20"/>
                <w:color w:val="auto"/>
              </w:rPr>
            </w:pPr>
            <w:r>
              <w:rPr>
                <w:rFonts w:ascii="Arial" w:cs="Arial" w:eastAsia="Arial" w:hAnsi="Arial"/>
                <w:sz w:val="18"/>
                <w:szCs w:val="18"/>
                <w:color w:val="auto"/>
              </w:rPr>
              <w:t>(Formerly "Annual Incentive Plan for Executive Officers")</w:t>
            </w:r>
          </w:p>
        </w:tc>
        <w:tc>
          <w:tcPr>
            <w:tcW w:w="5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restated, with administrative changes only, on August 11, 2020</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rFonts w:ascii="Arial" w:cs="Arial" w:eastAsia="Arial" w:hAnsi="Arial"/>
                <w:sz w:val="18"/>
                <w:szCs w:val="18"/>
                <w:u w:val="single" w:color="auto"/>
                <w:color w:val="0000FF"/>
                <w:w w:val="96"/>
              </w:rPr>
            </w:pPr>
            <w:hyperlink w:anchor="page62">
              <w:r>
                <w:rPr>
                  <w:rFonts w:ascii="Arial" w:cs="Arial" w:eastAsia="Arial" w:hAnsi="Arial"/>
                  <w:sz w:val="18"/>
                  <w:szCs w:val="18"/>
                  <w:u w:val="single" w:color="auto"/>
                  <w:color w:val="0000FF"/>
                  <w:w w:val="96"/>
                </w:rPr>
                <w:t>31.1</w:t>
              </w:r>
            </w:hyperlink>
          </w:p>
        </w:tc>
        <w:tc>
          <w:tcPr>
            <w:tcW w:w="5120" w:type="dxa"/>
            <w:vAlign w:val="bottom"/>
          </w:tcPr>
          <w:p>
            <w:pPr>
              <w:ind w:left="80"/>
              <w:spacing w:after="0"/>
              <w:rPr>
                <w:sz w:val="20"/>
                <w:szCs w:val="20"/>
                <w:color w:val="auto"/>
              </w:rPr>
            </w:pPr>
            <w:r>
              <w:rPr>
                <w:rFonts w:ascii="Arial" w:cs="Arial" w:eastAsia="Arial" w:hAnsi="Arial"/>
                <w:sz w:val="18"/>
                <w:szCs w:val="18"/>
                <w:color w:val="auto"/>
              </w:rPr>
              <w:t>Certification pursuant to Rule 13a-14(a)/15d-14(a) of the</w:t>
            </w:r>
          </w:p>
        </w:tc>
        <w:tc>
          <w:tcPr>
            <w:tcW w:w="526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5120" w:type="dxa"/>
            <w:vAlign w:val="bottom"/>
          </w:tcPr>
          <w:p>
            <w:pPr>
              <w:ind w:left="80"/>
              <w:spacing w:after="0" w:line="176" w:lineRule="exact"/>
              <w:rPr>
                <w:sz w:val="20"/>
                <w:szCs w:val="20"/>
                <w:color w:val="auto"/>
              </w:rPr>
            </w:pPr>
            <w:r>
              <w:rPr>
                <w:rFonts w:ascii="Arial" w:cs="Arial" w:eastAsia="Arial" w:hAnsi="Arial"/>
                <w:sz w:val="18"/>
                <w:szCs w:val="18"/>
                <w:color w:val="auto"/>
              </w:rPr>
              <w:t>Securities Exchange Act of 1934, as adopted pursuant to</w:t>
            </w:r>
          </w:p>
        </w:tc>
        <w:tc>
          <w:tcPr>
            <w:tcW w:w="5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Section 302 of the Sarbanes-Oxley Act of 2002</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00" w:type="dxa"/>
            <w:vAlign w:val="bottom"/>
          </w:tcPr>
          <w:p>
            <w:pPr>
              <w:jc w:val="center"/>
              <w:spacing w:after="0"/>
              <w:rPr>
                <w:rFonts w:ascii="Arial" w:cs="Arial" w:eastAsia="Arial" w:hAnsi="Arial"/>
                <w:sz w:val="18"/>
                <w:szCs w:val="18"/>
                <w:u w:val="single" w:color="auto"/>
                <w:color w:val="0000FF"/>
                <w:w w:val="96"/>
              </w:rPr>
            </w:pPr>
            <w:hyperlink w:anchor="page63">
              <w:r>
                <w:rPr>
                  <w:rFonts w:ascii="Arial" w:cs="Arial" w:eastAsia="Arial" w:hAnsi="Arial"/>
                  <w:sz w:val="18"/>
                  <w:szCs w:val="18"/>
                  <w:u w:val="single" w:color="auto"/>
                  <w:color w:val="0000FF"/>
                  <w:w w:val="96"/>
                </w:rPr>
                <w:t>31.2</w:t>
              </w:r>
            </w:hyperlink>
          </w:p>
        </w:tc>
        <w:tc>
          <w:tcPr>
            <w:tcW w:w="5120" w:type="dxa"/>
            <w:vAlign w:val="bottom"/>
          </w:tcPr>
          <w:p>
            <w:pPr>
              <w:ind w:left="80"/>
              <w:spacing w:after="0"/>
              <w:rPr>
                <w:sz w:val="20"/>
                <w:szCs w:val="20"/>
                <w:color w:val="auto"/>
              </w:rPr>
            </w:pPr>
            <w:r>
              <w:rPr>
                <w:rFonts w:ascii="Arial" w:cs="Arial" w:eastAsia="Arial" w:hAnsi="Arial"/>
                <w:sz w:val="18"/>
                <w:szCs w:val="18"/>
                <w:color w:val="auto"/>
              </w:rPr>
              <w:t>Certification pursuant to Rule 13a-14(a)/15d-14(a) of the</w:t>
            </w:r>
          </w:p>
        </w:tc>
        <w:tc>
          <w:tcPr>
            <w:tcW w:w="526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5120" w:type="dxa"/>
            <w:vAlign w:val="bottom"/>
          </w:tcPr>
          <w:p>
            <w:pPr>
              <w:ind w:left="80"/>
              <w:spacing w:after="0" w:line="176" w:lineRule="exact"/>
              <w:rPr>
                <w:sz w:val="20"/>
                <w:szCs w:val="20"/>
                <w:color w:val="auto"/>
              </w:rPr>
            </w:pPr>
            <w:r>
              <w:rPr>
                <w:rFonts w:ascii="Arial" w:cs="Arial" w:eastAsia="Arial" w:hAnsi="Arial"/>
                <w:sz w:val="18"/>
                <w:szCs w:val="18"/>
                <w:color w:val="auto"/>
              </w:rPr>
              <w:t>Securities Exchange Act of 1934, as adopted pursuant to</w:t>
            </w:r>
          </w:p>
        </w:tc>
        <w:tc>
          <w:tcPr>
            <w:tcW w:w="5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Section 302 of the Sarbanes-Oxley Act of 2002</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180"/>
          </w:cols>
          <w:pgMar w:left="320" w:top="886" w:right="399" w:bottom="1440" w:gutter="0" w:footer="0" w:header="0"/>
        </w:sectPr>
      </w:pPr>
    </w:p>
    <w:p>
      <w:pPr>
        <w:ind w:left="880" w:hanging="617"/>
        <w:spacing w:after="0" w:line="241" w:lineRule="auto"/>
        <w:tabs>
          <w:tab w:leader="none" w:pos="860" w:val="left"/>
        </w:tabs>
        <w:rPr>
          <w:rFonts w:ascii="Arial" w:cs="Arial" w:eastAsia="Arial" w:hAnsi="Arial"/>
          <w:sz w:val="18"/>
          <w:szCs w:val="18"/>
          <w:color w:val="0000FF"/>
        </w:rPr>
      </w:pPr>
      <w:hyperlink w:anchor="page64">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7"/>
          <w:szCs w:val="17"/>
          <w:color w:val="0000FF"/>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ind w:right="60"/>
        <w:spacing w:after="0" w:line="211"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69" w:lineRule="exact"/>
        <w:rPr>
          <w:sz w:val="20"/>
          <w:szCs w:val="20"/>
          <w:color w:val="auto"/>
        </w:rPr>
      </w:pPr>
    </w:p>
    <w:p>
      <w:pPr>
        <w:sectPr>
          <w:pgSz w:w="11900" w:h="16838" w:orient="portrait"/>
          <w:cols w:equalWidth="0" w:num="2">
            <w:col w:w="5720" w:space="260"/>
            <w:col w:w="5200"/>
          </w:cols>
          <w:pgMar w:left="320" w:top="886" w:right="399" w:bottom="1440" w:gutter="0" w:footer="0" w:header="0"/>
          <w:type w:val="continuous"/>
        </w:sectPr>
      </w:pPr>
    </w:p>
    <w:p>
      <w:pPr>
        <w:ind w:left="880" w:hanging="617"/>
        <w:spacing w:after="0" w:line="241" w:lineRule="auto"/>
        <w:tabs>
          <w:tab w:leader="none" w:pos="860" w:val="left"/>
        </w:tabs>
        <w:rPr>
          <w:rFonts w:ascii="Arial" w:cs="Arial" w:eastAsia="Arial" w:hAnsi="Arial"/>
          <w:sz w:val="18"/>
          <w:szCs w:val="18"/>
          <w:color w:val="0000FF"/>
        </w:rPr>
      </w:pPr>
      <w:hyperlink w:anchor="page65">
        <w:r>
          <w:rPr>
            <w:rFonts w:ascii="Arial" w:cs="Arial" w:eastAsia="Arial" w:hAnsi="Arial"/>
            <w:sz w:val="18"/>
            <w:szCs w:val="18"/>
            <w:u w:val="single" w:color="auto"/>
            <w:color w:val="0000FF"/>
          </w:rPr>
          <w:t>32.2</w:t>
        </w:r>
      </w:hyperlink>
      <w:r>
        <w:rPr>
          <w:rFonts w:ascii="Arial" w:cs="Arial" w:eastAsia="Arial" w:hAnsi="Arial"/>
          <w:sz w:val="18"/>
          <w:szCs w:val="18"/>
          <w:color w:val="0000FF"/>
        </w:rPr>
        <w:tab/>
      </w:r>
      <w:r>
        <w:rPr>
          <w:rFonts w:ascii="Arial" w:cs="Arial" w:eastAsia="Arial" w:hAnsi="Arial"/>
          <w:sz w:val="17"/>
          <w:szCs w:val="17"/>
          <w:color w:val="0000FF"/>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ind w:right="60"/>
        <w:spacing w:after="0" w:line="211"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69" w:lineRule="exact"/>
        <w:rPr>
          <w:sz w:val="20"/>
          <w:szCs w:val="20"/>
          <w:color w:val="auto"/>
        </w:rPr>
      </w:pPr>
    </w:p>
    <w:p>
      <w:pPr>
        <w:sectPr>
          <w:pgSz w:w="11900" w:h="16838" w:orient="portrait"/>
          <w:cols w:equalWidth="0" w:num="2">
            <w:col w:w="5720" w:space="260"/>
            <w:col w:w="5200"/>
          </w:cols>
          <w:pgMar w:left="320" w:top="886" w:right="399" w:bottom="1440" w:gutter="0" w:footer="0" w:header="0"/>
          <w:type w:val="continuous"/>
        </w:sectPr>
      </w:pPr>
    </w:p>
    <w:p>
      <w:pPr>
        <w:ind w:left="880" w:hanging="667"/>
        <w:spacing w:after="0" w:line="215" w:lineRule="auto"/>
        <w:tabs>
          <w:tab w:leader="none" w:pos="8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September 30, 2020, formatted in Inline Extensible Business Reporting Language (Inline XBRL): (i) Condensed Consolidated Income Statements,</w:t>
      </w:r>
    </w:p>
    <w:p>
      <w:pPr>
        <w:spacing w:after="0" w:line="2" w:lineRule="exact"/>
        <w:rPr>
          <w:sz w:val="20"/>
          <w:szCs w:val="20"/>
          <w:color w:val="auto"/>
        </w:rPr>
      </w:pPr>
    </w:p>
    <w:p>
      <w:pPr>
        <w:ind w:left="880" w:right="260" w:hanging="4"/>
        <w:spacing w:after="0" w:line="215" w:lineRule="auto"/>
        <w:tabs>
          <w:tab w:leader="none" w:pos="11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Income, (iii) Condensed Consolidated Balance Sheets, (iv) Condensed Consolidated Statements of Cash Flows and (v) Notes to Condensed Consolidated Financial Statements</w:t>
      </w:r>
    </w:p>
    <w:p>
      <w:pPr>
        <w:spacing w:after="0" w:line="14" w:lineRule="exact"/>
        <w:rPr>
          <w:sz w:val="20"/>
          <w:szCs w:val="20"/>
          <w:color w:val="auto"/>
        </w:rPr>
      </w:pPr>
    </w:p>
    <w:p>
      <w:pPr>
        <w:jc w:val="both"/>
        <w:ind w:left="880" w:right="260" w:hanging="667"/>
        <w:spacing w:after="0" w:line="219" w:lineRule="auto"/>
        <w:tabs>
          <w:tab w:leader="none" w:pos="860" w:val="left"/>
        </w:tabs>
        <w:rPr>
          <w:sz w:val="20"/>
          <w:szCs w:val="20"/>
          <w:color w:val="auto"/>
        </w:rPr>
      </w:pPr>
      <w:r>
        <w:rPr>
          <w:rFonts w:ascii="Arial" w:cs="Arial" w:eastAsia="Arial" w:hAnsi="Arial"/>
          <w:sz w:val="18"/>
          <w:szCs w:val="18"/>
          <w:color w:val="auto"/>
        </w:rPr>
        <w:t>104.0</w:t>
        <w:tab/>
        <w:t>The cover page from Xylem Inc.'s Quarterly Report on Form 10-Q for the period ended September 30, 2020 formatted in Inline XBRL and contained in Exhibit 101.0.</w:t>
      </w:r>
    </w:p>
    <w:p>
      <w:pPr>
        <w:spacing w:after="0" w:line="20" w:lineRule="exact"/>
        <w:rPr>
          <w:sz w:val="20"/>
          <w:szCs w:val="20"/>
          <w:color w:val="auto"/>
        </w:rPr>
      </w:pPr>
      <w:r>
        <w:rPr>
          <w:sz w:val="20"/>
          <w:szCs w:val="20"/>
          <w:color w:val="auto"/>
        </w:rPr>
        <w:br w:type="column"/>
      </w:r>
    </w:p>
    <w:p>
      <w:pPr>
        <w:ind w:right="80"/>
        <w:spacing w:after="0" w:line="219"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1657" w:lineRule="exact"/>
        <w:rPr>
          <w:sz w:val="20"/>
          <w:szCs w:val="20"/>
          <w:color w:val="auto"/>
        </w:rPr>
      </w:pPr>
    </w:p>
    <w:p>
      <w:pPr>
        <w:sectPr>
          <w:pgSz w:w="11900" w:h="16838" w:orient="portrait"/>
          <w:cols w:equalWidth="0" w:num="2">
            <w:col w:w="5920" w:space="60"/>
            <w:col w:w="5200"/>
          </w:cols>
          <w:pgMar w:left="320" w:top="88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type w:val="continuous"/>
        </w:sectPr>
      </w:pPr>
    </w:p>
    <w:bookmarkStart w:id="56" w:name="page57"/>
    <w:bookmarkEnd w:id="5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460"/>
        <w:spacing w:after="0"/>
        <w:rPr>
          <w:sz w:val="20"/>
          <w:szCs w:val="20"/>
          <w:color w:val="auto"/>
        </w:rPr>
      </w:pPr>
      <w:r>
        <w:rPr>
          <w:rFonts w:ascii="Arial" w:cs="Arial" w:eastAsia="Arial" w:hAnsi="Arial"/>
          <w:sz w:val="18"/>
          <w:szCs w:val="18"/>
          <w:b w:val="1"/>
          <w:bCs w:val="1"/>
          <w:u w:val="single" w:color="auto"/>
          <w:color w:val="auto"/>
        </w:rPr>
        <w:t>XYLEM INC.</w:t>
      </w:r>
    </w:p>
    <w:p>
      <w:pPr>
        <w:spacing w:after="0" w:line="4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(Registrant)</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6350</wp:posOffset>
            </wp:positionV>
            <wp:extent cx="3797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Geri McShane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Vice President, Controller and Chief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October 29, 2020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1089" w:right="4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Restated, with administrative changes only, on August 11, 2020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XYLEM</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 PLAN FOR THE SENIOR LEADERSHIP TEAM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“Annual Incentive Plan for Executive Officers”)</w:t>
      </w:r>
    </w:p>
    <w:p>
      <w:pPr>
        <w:spacing w:after="0" w:line="33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17" w:lineRule="exact"/>
        <w:rPr>
          <w:rFonts w:ascii="Arial" w:cs="Arial" w:eastAsia="Arial" w:hAnsi="Arial"/>
          <w:sz w:val="18"/>
          <w:szCs w:val="18"/>
          <w:b w:val="1"/>
          <w:bCs w:val="1"/>
          <w:color w:val="auto"/>
        </w:rPr>
      </w:pPr>
    </w:p>
    <w:p>
      <w:pPr>
        <w:ind w:left="3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purpose of this Xylem Annual Incentive Plan (“</w:t>
      </w:r>
      <w:r>
        <w:rPr>
          <w:rFonts w:ascii="Arial" w:cs="Arial" w:eastAsia="Arial" w:hAnsi="Arial"/>
          <w:sz w:val="18"/>
          <w:szCs w:val="18"/>
          <w:b w:val="1"/>
          <w:bCs w:val="1"/>
          <w:color w:val="auto"/>
        </w:rPr>
        <w:t>AIP</w:t>
      </w:r>
      <w:r>
        <w:rPr>
          <w:rFonts w:ascii="Arial" w:cs="Arial" w:eastAsia="Arial" w:hAnsi="Arial"/>
          <w:sz w:val="18"/>
          <w:szCs w:val="18"/>
          <w:color w:val="auto"/>
        </w:rPr>
        <w:t>”) for the Senior Leadership Team (“SLT”) is to provide incentive compensation in the form of a cash award to members of the SLT of Xylem Inc. (the “</w:t>
      </w:r>
      <w:r>
        <w:rPr>
          <w:rFonts w:ascii="Arial" w:cs="Arial" w:eastAsia="Arial" w:hAnsi="Arial"/>
          <w:sz w:val="18"/>
          <w:szCs w:val="18"/>
          <w:b w:val="1"/>
          <w:bCs w:val="1"/>
          <w:color w:val="auto"/>
        </w:rPr>
        <w:t>Company</w:t>
      </w:r>
      <w:r>
        <w:rPr>
          <w:rFonts w:ascii="Arial" w:cs="Arial" w:eastAsia="Arial" w:hAnsi="Arial"/>
          <w:sz w:val="18"/>
          <w:szCs w:val="18"/>
          <w:color w:val="auto"/>
        </w:rPr>
        <w:t>”) for achieving specific pre-established performance objectives and to continue to motivate participating SLT members to achieve their business goals, while tying a portion of their compensation to measures affecting shareholder value. The AIP seeks to enable the Company to continue to be competitive in its ability to attract and retain SLT members of the highest caliber. The AIP first became effective as of October 31, 2011.</w:t>
      </w:r>
    </w:p>
    <w:p>
      <w:pPr>
        <w:spacing w:after="0" w:line="200" w:lineRule="exact"/>
        <w:rPr>
          <w:rFonts w:ascii="Arial" w:cs="Arial" w:eastAsia="Arial" w:hAnsi="Arial"/>
          <w:sz w:val="18"/>
          <w:szCs w:val="18"/>
          <w:b w:val="1"/>
          <w:bCs w:val="1"/>
          <w:color w:val="auto"/>
        </w:rPr>
      </w:pPr>
    </w:p>
    <w:p>
      <w:pPr>
        <w:spacing w:after="0" w:line="222" w:lineRule="exact"/>
        <w:rPr>
          <w:rFonts w:ascii="Arial" w:cs="Arial" w:eastAsia="Arial" w:hAnsi="Arial"/>
          <w:sz w:val="18"/>
          <w:szCs w:val="18"/>
          <w:b w:val="1"/>
          <w:bCs w:val="1"/>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Plan Administration</w:t>
      </w:r>
    </w:p>
    <w:p>
      <w:pPr>
        <w:spacing w:after="0" w:line="117" w:lineRule="exact"/>
        <w:rPr>
          <w:rFonts w:ascii="Arial" w:cs="Arial" w:eastAsia="Arial" w:hAnsi="Arial"/>
          <w:sz w:val="18"/>
          <w:szCs w:val="18"/>
          <w:b w:val="1"/>
          <w:bCs w:val="1"/>
          <w:color w:val="auto"/>
        </w:rPr>
      </w:pPr>
    </w:p>
    <w:p>
      <w:pPr>
        <w:ind w:left="34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Leadership Development and Compensation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the Company, as constituted by the Board from time to time, shall be comprised of non-employee directors who are independent under the requirements of the New York Stock Exchange and the rules of the Securities Exchange Commission.</w:t>
      </w:r>
    </w:p>
    <w:p>
      <w:pPr>
        <w:spacing w:after="0" w:line="84" w:lineRule="exact"/>
        <w:rPr>
          <w:rFonts w:ascii="Arial" w:cs="Arial" w:eastAsia="Arial" w:hAnsi="Arial"/>
          <w:sz w:val="18"/>
          <w:szCs w:val="18"/>
          <w:b w:val="1"/>
          <w:bCs w:val="1"/>
          <w:color w:val="auto"/>
        </w:rPr>
      </w:pPr>
    </w:p>
    <w:p>
      <w:pPr>
        <w:ind w:left="34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Committee shall have full power and authority to administer, construe and interpret the provisions of the AIP and to adopt and amend administrative rules and regulations, agreements, guidelines and instruments for the administration of the AIP and for the conduct of its business as the Committee considers appropriate.</w:t>
      </w:r>
    </w:p>
    <w:p>
      <w:pPr>
        <w:spacing w:after="0" w:line="93" w:lineRule="exact"/>
        <w:rPr>
          <w:rFonts w:ascii="Arial" w:cs="Arial" w:eastAsia="Arial" w:hAnsi="Arial"/>
          <w:sz w:val="18"/>
          <w:szCs w:val="18"/>
          <w:b w:val="1"/>
          <w:bCs w:val="1"/>
          <w:color w:val="auto"/>
        </w:rPr>
      </w:pPr>
    </w:p>
    <w:p>
      <w:pPr>
        <w:ind w:left="34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Committee shall have full power, to the extent permitted by law, to delegate its authority to any officer or employee of the Company to administer and interpret the procedural aspects of the AIP, subject to the terms of the AIP, including adopting and enforcing rules to decide procedural and administrative issues.</w:t>
      </w:r>
    </w:p>
    <w:p>
      <w:pPr>
        <w:spacing w:after="0" w:line="93" w:lineRule="exact"/>
        <w:rPr>
          <w:rFonts w:ascii="Arial" w:cs="Arial" w:eastAsia="Arial" w:hAnsi="Arial"/>
          <w:sz w:val="18"/>
          <w:szCs w:val="18"/>
          <w:b w:val="1"/>
          <w:bCs w:val="1"/>
          <w:color w:val="auto"/>
        </w:rPr>
      </w:pPr>
    </w:p>
    <w:p>
      <w:pPr>
        <w:ind w:left="340" w:right="3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Committee may rely on opinions, reports or statements of officers or employees of the Company and of counsel to the Company (inside or retained counsel), public accountants and other professional or expert persons.</w:t>
      </w:r>
    </w:p>
    <w:p>
      <w:pPr>
        <w:spacing w:after="0" w:line="89" w:lineRule="exact"/>
        <w:rPr>
          <w:rFonts w:ascii="Arial" w:cs="Arial" w:eastAsia="Arial" w:hAnsi="Arial"/>
          <w:sz w:val="18"/>
          <w:szCs w:val="18"/>
          <w:b w:val="1"/>
          <w:bCs w:val="1"/>
          <w:color w:val="auto"/>
        </w:rPr>
      </w:pPr>
    </w:p>
    <w:p>
      <w:pPr>
        <w:ind w:left="34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Board reserves the right to amend or terminate the AIP in whole or in part at any time; provided, however, that no amendments shall adversely affect or impair the rights of any participant that have previously accrued hereunder, without the written consent of the participant.</w:t>
      </w:r>
    </w:p>
    <w:p>
      <w:pPr>
        <w:spacing w:after="0" w:line="93" w:lineRule="exact"/>
        <w:rPr>
          <w:rFonts w:ascii="Arial" w:cs="Arial" w:eastAsia="Arial" w:hAnsi="Arial"/>
          <w:sz w:val="18"/>
          <w:szCs w:val="18"/>
          <w:b w:val="1"/>
          <w:bCs w:val="1"/>
          <w:color w:val="auto"/>
        </w:rPr>
      </w:pPr>
    </w:p>
    <w:p>
      <w:pPr>
        <w:ind w:left="34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No member of the Committee shall be liable for any action taken or omitted to be taken or for any determination made by him or her in good faith with respect to the AIP, and the Company shall indemnify and hold harmless each member of the Committee against any cost or expense (including counsel fees) or liability (including any sum paid in settlement of a claim with the approval of the Committee) arising out of any act or omission in connection with the administration or interpretation of the AIP, unless arising out of such person’s own fraud or bad faith.</w:t>
      </w:r>
    </w:p>
    <w:p>
      <w:pPr>
        <w:spacing w:after="0" w:line="318" w:lineRule="exact"/>
        <w:rPr>
          <w:rFonts w:ascii="Arial" w:cs="Arial" w:eastAsia="Arial" w:hAnsi="Arial"/>
          <w:sz w:val="18"/>
          <w:szCs w:val="18"/>
          <w:b w:val="1"/>
          <w:bCs w:val="1"/>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Eligible Executives</w:t>
      </w:r>
    </w:p>
    <w:p>
      <w:pPr>
        <w:spacing w:after="0" w:line="139" w:lineRule="exact"/>
        <w:rPr>
          <w:rFonts w:ascii="Arial" w:cs="Arial" w:eastAsia="Arial" w:hAnsi="Arial"/>
          <w:sz w:val="18"/>
          <w:szCs w:val="18"/>
          <w:b w:val="1"/>
          <w:bCs w:val="1"/>
          <w:color w:val="auto"/>
        </w:rPr>
      </w:pPr>
    </w:p>
    <w:p>
      <w:pPr>
        <w:ind w:left="340" w:righ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Executives in salary Band A, which includes executive officers as defined by the Securities Exchange Act of 1934, Rule 3b-7, of the Company and its subsidiaries, shall be eligible to participate in the AIP.</w:t>
      </w:r>
    </w:p>
    <w:p>
      <w:pPr>
        <w:spacing w:after="0" w:line="310" w:lineRule="exact"/>
        <w:rPr>
          <w:rFonts w:ascii="Arial" w:cs="Arial" w:eastAsia="Arial" w:hAnsi="Arial"/>
          <w:sz w:val="18"/>
          <w:szCs w:val="18"/>
          <w:b w:val="1"/>
          <w:bCs w:val="1"/>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Plan Year, Performance Periods, Performance Measures and Performance Targets</w:t>
      </w:r>
    </w:p>
    <w:p>
      <w:pPr>
        <w:spacing w:after="0" w:line="1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Each fiscal year of the AIP (the “</w:t>
      </w:r>
      <w:r>
        <w:rPr>
          <w:rFonts w:ascii="Arial" w:cs="Arial" w:eastAsia="Arial" w:hAnsi="Arial"/>
          <w:sz w:val="18"/>
          <w:szCs w:val="18"/>
          <w:b w:val="1"/>
          <w:bCs w:val="1"/>
          <w:color w:val="auto"/>
        </w:rPr>
        <w:t>Plan Year</w:t>
      </w:r>
      <w:r>
        <w:rPr>
          <w:rFonts w:ascii="Arial" w:cs="Arial" w:eastAsia="Arial" w:hAnsi="Arial"/>
          <w:sz w:val="18"/>
          <w:szCs w:val="18"/>
          <w:color w:val="auto"/>
        </w:rPr>
        <w:t>”) shall begin on January 1 and end on December 31. The performance period (the</w:t>
      </w:r>
    </w:p>
    <w:p>
      <w:pPr>
        <w:spacing w:after="0" w:line="31" w:lineRule="exact"/>
        <w:rPr>
          <w:rFonts w:ascii="Arial" w:cs="Arial" w:eastAsia="Arial" w:hAnsi="Arial"/>
          <w:sz w:val="18"/>
          <w:szCs w:val="18"/>
          <w:b w:val="1"/>
          <w:bCs w:val="1"/>
          <w:color w:val="auto"/>
        </w:rPr>
      </w:pPr>
    </w:p>
    <w:p>
      <w:pPr>
        <w:ind w:left="340" w:right="7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with respect to which incentive awards may be payable under the AIP shall be the Plan Year unless the Committee designates one or more different Performance Periods.</w:t>
      </w:r>
    </w:p>
    <w:p>
      <w:pPr>
        <w:spacing w:after="0" w:line="67" w:lineRule="exact"/>
        <w:rPr>
          <w:rFonts w:ascii="Arial" w:cs="Arial" w:eastAsia="Arial" w:hAnsi="Arial"/>
          <w:sz w:val="18"/>
          <w:szCs w:val="18"/>
          <w:b w:val="1"/>
          <w:bCs w:val="1"/>
          <w:color w:val="auto"/>
        </w:rPr>
      </w:pPr>
    </w:p>
    <w:p>
      <w:pPr>
        <w:ind w:left="34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Committee shall establish the performance measures (the “</w:t>
      </w:r>
      <w:r>
        <w:rPr>
          <w:rFonts w:ascii="Arial" w:cs="Arial" w:eastAsia="Arial" w:hAnsi="Arial"/>
          <w:sz w:val="18"/>
          <w:szCs w:val="18"/>
          <w:b w:val="1"/>
          <w:bCs w:val="1"/>
          <w:color w:val="auto"/>
        </w:rPr>
        <w:t>Performance Measures</w:t>
      </w:r>
      <w:r>
        <w:rPr>
          <w:rFonts w:ascii="Arial" w:cs="Arial" w:eastAsia="Arial" w:hAnsi="Arial"/>
          <w:sz w:val="18"/>
          <w:szCs w:val="18"/>
          <w:color w:val="auto"/>
        </w:rPr>
        <w:t>”) to be used which may include, one or more of the following criteria: (i) consolidated earnings before or after taxes (including earnings before interest, taxes, depreciation and amortization); (ii) net income; (iii) operating income; (iv)</w:t>
      </w:r>
    </w:p>
    <w:p>
      <w:pPr>
        <w:sectPr>
          <w:pgSz w:w="11900" w:h="16838" w:orient="portrait"/>
          <w:cols w:equalWidth="0" w:num="1">
            <w:col w:w="11240"/>
          </w:cols>
          <w:pgMar w:left="320" w:top="886" w:right="339" w:bottom="1440" w:gutter="0" w:footer="0" w:header="0"/>
        </w:sectPr>
      </w:pPr>
    </w:p>
    <w:bookmarkStart w:id="58" w:name="page59"/>
    <w:bookmarkEnd w:id="58"/>
    <w:p>
      <w:pPr>
        <w:ind w:left="332"/>
        <w:spacing w:after="0"/>
        <w:rPr>
          <w:sz w:val="20"/>
          <w:szCs w:val="20"/>
          <w:color w:val="auto"/>
        </w:rPr>
      </w:pPr>
      <w:r>
        <w:rPr>
          <w:rFonts w:ascii="Arial" w:cs="Arial" w:eastAsia="Arial" w:hAnsi="Arial"/>
          <w:sz w:val="18"/>
          <w:szCs w:val="18"/>
          <w:color w:val="auto"/>
        </w:rPr>
        <w:t>earnings per share; (v) book value per share; (vi) return on shareholders’ equity; (vii) expense management; (viii) return on investment;</w:t>
      </w:r>
    </w:p>
    <w:p>
      <w:pPr>
        <w:spacing w:after="0" w:line="9" w:lineRule="exact"/>
        <w:rPr>
          <w:sz w:val="20"/>
          <w:szCs w:val="20"/>
          <w:color w:val="auto"/>
        </w:rPr>
      </w:pPr>
    </w:p>
    <w:p>
      <w:pPr>
        <w:jc w:val="both"/>
        <w:ind w:left="332" w:hanging="8"/>
        <w:spacing w:after="0" w:line="278" w:lineRule="auto"/>
        <w:tabs>
          <w:tab w:leader="none" w:pos="6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improvements in capital structure; (x) profitability of an identifiable business unit or product; (xi) maintenance or improvement of profit margins; (xii) stock price; (xiii) market share; (xiv) revenues or sales (including organic revenue); (xv) costs; (xvi) cash flow; (xvii) working capital (xviii) return on assets; (xix) total shareholder return; (xx) return on invested or total capital and (xxi) economic value added.</w:t>
      </w:r>
    </w:p>
    <w:p>
      <w:pPr>
        <w:spacing w:after="0" w:line="77" w:lineRule="exact"/>
        <w:rPr>
          <w:sz w:val="20"/>
          <w:szCs w:val="20"/>
          <w:color w:val="auto"/>
        </w:rPr>
      </w:pPr>
    </w:p>
    <w:p>
      <w:pPr>
        <w:ind w:left="332" w:right="40"/>
        <w:spacing w:after="0" w:line="270" w:lineRule="auto"/>
        <w:rPr>
          <w:sz w:val="20"/>
          <w:szCs w:val="20"/>
          <w:color w:val="auto"/>
        </w:rPr>
      </w:pPr>
      <w:r>
        <w:rPr>
          <w:rFonts w:ascii="Arial" w:cs="Arial" w:eastAsia="Arial" w:hAnsi="Arial"/>
          <w:sz w:val="17"/>
          <w:szCs w:val="17"/>
          <w:color w:val="auto"/>
        </w:rPr>
        <w:t>In addition, Performance Measures may be based upon other objectives such as negotiating transactions or sales, implementation of Company policy, development of long-term business goals or strategic plans, negotiation of significant corporate transactions,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and goals relating to acquisitions or divestitures of subsidiaries and/or other affiliates or joint ventures; provided however, that the measurement of any such Performance Measures must be objectively determinable.</w:t>
      </w:r>
    </w:p>
    <w:p>
      <w:pPr>
        <w:spacing w:after="0" w:line="85" w:lineRule="exact"/>
        <w:rPr>
          <w:sz w:val="20"/>
          <w:szCs w:val="20"/>
          <w:color w:val="auto"/>
        </w:rPr>
      </w:pPr>
    </w:p>
    <w:p>
      <w:pPr>
        <w:ind w:left="332"/>
        <w:spacing w:after="0" w:line="253" w:lineRule="auto"/>
        <w:rPr>
          <w:sz w:val="20"/>
          <w:szCs w:val="20"/>
          <w:color w:val="auto"/>
        </w:rPr>
      </w:pPr>
      <w:r>
        <w:rPr>
          <w:rFonts w:ascii="Arial" w:cs="Arial" w:eastAsia="Arial" w:hAnsi="Arial"/>
          <w:sz w:val="18"/>
          <w:szCs w:val="18"/>
          <w:color w:val="auto"/>
        </w:rPr>
        <w:t>All Performance Measures shall be objectively determinable and, to the extent they are expressed in standard accounting terms, shall be according to generally accepted accounting principles as in existence on the date on which the applicable Performance Period is established and without regard to any changes in such principles after such date (unless the modification of a Performance Measure to take into account such a change is pre-established in writing at the time the Performance Measures are established in writing by the Committee).</w:t>
      </w:r>
    </w:p>
    <w:p>
      <w:pPr>
        <w:spacing w:after="0" w:line="75" w:lineRule="exact"/>
        <w:rPr>
          <w:sz w:val="20"/>
          <w:szCs w:val="20"/>
          <w:color w:val="auto"/>
        </w:rPr>
      </w:pPr>
    </w:p>
    <w:p>
      <w:pPr>
        <w:ind w:left="332" w:right="100"/>
        <w:spacing w:after="0" w:line="255" w:lineRule="auto"/>
        <w:rPr>
          <w:sz w:val="20"/>
          <w:szCs w:val="20"/>
          <w:color w:val="auto"/>
        </w:rPr>
      </w:pPr>
      <w:r>
        <w:rPr>
          <w:rFonts w:ascii="Arial" w:cs="Arial" w:eastAsia="Arial" w:hAnsi="Arial"/>
          <w:sz w:val="18"/>
          <w:szCs w:val="18"/>
          <w:color w:val="auto"/>
        </w:rPr>
        <w:t>The Committee shall establish the performance targets (the “</w:t>
      </w:r>
      <w:r>
        <w:rPr>
          <w:rFonts w:ascii="Arial" w:cs="Arial" w:eastAsia="Arial" w:hAnsi="Arial"/>
          <w:sz w:val="18"/>
          <w:szCs w:val="18"/>
          <w:b w:val="1"/>
          <w:bCs w:val="1"/>
          <w:color w:val="auto"/>
        </w:rPr>
        <w:t>Performance Targets</w:t>
      </w:r>
      <w:r>
        <w:rPr>
          <w:rFonts w:ascii="Arial" w:cs="Arial" w:eastAsia="Arial" w:hAnsi="Arial"/>
          <w:sz w:val="18"/>
          <w:szCs w:val="18"/>
          <w:color w:val="auto"/>
        </w:rPr>
        <w:t>”) to be achieved which shall be based on one or more Performance Measures relating to the Company as a whole or to the specific businesses of the Company, subsidiaries, operating groups, or operating units, as determined by the Committee. Performance Targets may be established on such terms as the Committee may determine, in its discretion, including in absolute terms, as a goal relative to performance in prior periods, or as a goal compared to the performance of one or more comparable companies or an index covering multiple companies. The Committee also shall establish with respect to each incentive award an objective formula to be used in calculating the amount of incentive award each participant shall be eligible to receive. There may be a sliding scale of payment dependent upon the percentage levels of achievement of Performance Targets.</w:t>
      </w:r>
    </w:p>
    <w:p>
      <w:pPr>
        <w:spacing w:after="0" w:line="99" w:lineRule="exact"/>
        <w:rPr>
          <w:sz w:val="20"/>
          <w:szCs w:val="20"/>
          <w:color w:val="auto"/>
        </w:rPr>
      </w:pPr>
    </w:p>
    <w:p>
      <w:pPr>
        <w:ind w:left="332" w:right="160"/>
        <w:spacing w:after="0" w:line="256" w:lineRule="auto"/>
        <w:rPr>
          <w:sz w:val="20"/>
          <w:szCs w:val="20"/>
          <w:color w:val="auto"/>
        </w:rPr>
      </w:pPr>
      <w:r>
        <w:rPr>
          <w:rFonts w:ascii="Arial" w:cs="Arial" w:eastAsia="Arial" w:hAnsi="Arial"/>
          <w:sz w:val="18"/>
          <w:szCs w:val="18"/>
          <w:color w:val="auto"/>
        </w:rPr>
        <w:t>The Performance Measures and Performance Targets, which may be different with respect to each participant and each Performance Period, must be set forth in writing by the Committee within the first ninety (90) days of the applicable Performance Period or, if sooner, prior to the time when 25 percent of the relevant Performance Period has elapsed.</w:t>
      </w:r>
    </w:p>
    <w:p>
      <w:pPr>
        <w:spacing w:after="0" w:line="315" w:lineRule="exact"/>
        <w:rPr>
          <w:sz w:val="20"/>
          <w:szCs w:val="20"/>
          <w:color w:val="auto"/>
        </w:rPr>
      </w:pPr>
    </w:p>
    <w:p>
      <w:pPr>
        <w:ind w:left="312" w:hanging="312"/>
        <w:spacing w:after="0"/>
        <w:tabs>
          <w:tab w:leader="none" w:pos="31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Certification of Performance Targets and Calculation of Incentive Awards</w:t>
      </w:r>
    </w:p>
    <w:p>
      <w:pPr>
        <w:spacing w:after="0" w:line="139" w:lineRule="exact"/>
        <w:rPr>
          <w:rFonts w:ascii="Arial" w:cs="Arial" w:eastAsia="Arial" w:hAnsi="Arial"/>
          <w:sz w:val="18"/>
          <w:szCs w:val="18"/>
          <w:b w:val="1"/>
          <w:bCs w:val="1"/>
          <w:color w:val="auto"/>
        </w:rPr>
      </w:pPr>
    </w:p>
    <w:p>
      <w:pPr>
        <w:ind w:left="332"/>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After the end of each Performance Period, and prior to the payment for such Performance Period, the Committee must certify in writing the degree to which the Performance Targets for the Performance Period were achieved, including the specific target objective or objectives and the satisfaction of any other material terms of the incentive award. The Committee shall calculate the amount of each participant’s incentive award for such Performance Period based upon the Performance Measures and Performance Targets for such participant. In establishing Performance Targets and Performance Measures and in calculating the degree of achievement thereof, the Committee may ignore extraordinary items, property transactions, changes in accounting standards and losses or gains arising from discontinued operations. The Committee shall have authority or discretion to increase or decrease the amount or totally eliminate any such incentive award if it determines in its absolute and sole discretion that such action is appropriate in order to reflect the participant’s performance or unanticipated factors during the Performance Period. The maximum payment that may be made with respect to incentive awards under the AIP to any participant in any one calendar year shall be $8,000,000; provided, however, that this limitation shall not apply with respect to any incentive award that is paid in a calendar year prior to the year it would ordinarily be paid because of a Change in Control or other transaction or event that provides for accelerated payment of an incentive award.</w:t>
      </w:r>
    </w:p>
    <w:p>
      <w:pPr>
        <w:spacing w:after="0" w:line="323" w:lineRule="exact"/>
        <w:rPr>
          <w:rFonts w:ascii="Arial" w:cs="Arial" w:eastAsia="Arial" w:hAnsi="Arial"/>
          <w:sz w:val="18"/>
          <w:szCs w:val="18"/>
          <w:b w:val="1"/>
          <w:bCs w:val="1"/>
          <w:color w:val="auto"/>
        </w:rPr>
      </w:pPr>
    </w:p>
    <w:p>
      <w:pPr>
        <w:ind w:left="312" w:hanging="312"/>
        <w:spacing w:after="0"/>
        <w:tabs>
          <w:tab w:leader="none" w:pos="31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Awards</w:t>
      </w:r>
    </w:p>
    <w:p>
      <w:pPr>
        <w:spacing w:after="0" w:line="139" w:lineRule="exact"/>
        <w:rPr>
          <w:rFonts w:ascii="Arial" w:cs="Arial" w:eastAsia="Arial" w:hAnsi="Arial"/>
          <w:sz w:val="18"/>
          <w:szCs w:val="18"/>
          <w:b w:val="1"/>
          <w:bCs w:val="1"/>
          <w:color w:val="auto"/>
        </w:rPr>
      </w:pPr>
    </w:p>
    <w:p>
      <w:pPr>
        <w:ind w:left="332"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Approved incentive awards shall be payable by the Company in cash to each participant, or to the participant’s estate in the event of the participant’s death, as soon as practicable (and in any event no later than 2 1/2 months) after the end of each Performance Period. No incentive award may be paid under the AIP until the Committee has certified in writing that the relevant Performance Targets were achieved. If a participant is not an employee on the last day of the Performance Period, the Committee shall have sole discretion to determine</w:t>
      </w:r>
    </w:p>
    <w:p>
      <w:pPr>
        <w:sectPr>
          <w:pgSz w:w="11900" w:h="16838" w:orient="portrait"/>
          <w:cols w:equalWidth="0" w:num="1">
            <w:col w:w="11192"/>
          </w:cols>
          <w:pgMar w:left="328" w:top="1016" w:right="379" w:bottom="1440" w:gutter="0" w:footer="0" w:header="0"/>
        </w:sectPr>
      </w:pPr>
    </w:p>
    <w:bookmarkStart w:id="59" w:name="page60"/>
    <w:bookmarkEnd w:id="59"/>
    <w:p>
      <w:pPr>
        <w:ind w:left="332" w:right="140"/>
        <w:spacing w:after="0" w:line="253" w:lineRule="auto"/>
        <w:rPr>
          <w:sz w:val="20"/>
          <w:szCs w:val="20"/>
          <w:color w:val="auto"/>
        </w:rPr>
      </w:pPr>
      <w:r>
        <w:rPr>
          <w:rFonts w:ascii="Arial" w:cs="Arial" w:eastAsia="Arial" w:hAnsi="Arial"/>
          <w:sz w:val="18"/>
          <w:szCs w:val="18"/>
          <w:color w:val="auto"/>
        </w:rPr>
        <w:t>what portion, if any, the participant shall be entitled to receive with respect to any award for the Performance Period; provided, however, that other than in the case of a participant’s death, disability or in connection with a Change in Control (as described in Section 8), any payment in respect of an award shall be subject to the satisfaction of the applicable Performance Targets for the Performance Period. The Committee shall have the authority to adopt appropriate rules and regulations for the administration of the AIP in such termination cases.</w:t>
      </w:r>
    </w:p>
    <w:p>
      <w:pPr>
        <w:spacing w:after="0" w:line="97" w:lineRule="exact"/>
        <w:rPr>
          <w:sz w:val="20"/>
          <w:szCs w:val="20"/>
          <w:color w:val="auto"/>
        </w:rPr>
      </w:pPr>
    </w:p>
    <w:p>
      <w:pPr>
        <w:ind w:left="332" w:right="140"/>
        <w:spacing w:after="0" w:line="261" w:lineRule="auto"/>
        <w:rPr>
          <w:sz w:val="20"/>
          <w:szCs w:val="20"/>
          <w:color w:val="auto"/>
        </w:rPr>
      </w:pPr>
      <w:r>
        <w:rPr>
          <w:rFonts w:ascii="Arial" w:cs="Arial" w:eastAsia="Arial" w:hAnsi="Arial"/>
          <w:sz w:val="18"/>
          <w:szCs w:val="18"/>
          <w:color w:val="auto"/>
        </w:rPr>
        <w:t>Notwithstanding the above, no incentive awards shall be paid under the AIP unless the AIP is approved by the requisite shareholders of the Company.</w:t>
      </w:r>
    </w:p>
    <w:p>
      <w:pPr>
        <w:spacing w:after="0" w:line="311" w:lineRule="exact"/>
        <w:rPr>
          <w:sz w:val="20"/>
          <w:szCs w:val="20"/>
          <w:color w:val="auto"/>
        </w:rPr>
      </w:pPr>
    </w:p>
    <w:p>
      <w:pPr>
        <w:ind w:left="312" w:hanging="312"/>
        <w:spacing w:after="0"/>
        <w:tabs>
          <w:tab w:leader="none" w:pos="3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Terms and Conditions</w:t>
      </w:r>
    </w:p>
    <w:p>
      <w:pPr>
        <w:spacing w:after="0" w:line="139" w:lineRule="exact"/>
        <w:rPr>
          <w:rFonts w:ascii="Arial" w:cs="Arial" w:eastAsia="Arial" w:hAnsi="Arial"/>
          <w:sz w:val="18"/>
          <w:szCs w:val="18"/>
          <w:b w:val="1"/>
          <w:bCs w:val="1"/>
          <w:color w:val="auto"/>
        </w:rPr>
      </w:pPr>
    </w:p>
    <w:p>
      <w:pPr>
        <w:ind w:left="332" w:right="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Any award made under this AIP shall be subject to the discretion of the Committee. No person shall have any legal claim to be granted an award under the AIP and the Committee shall have no obligation to treat participants uniformly. Except as may be otherwise required by law, incentive awards under the AIP shall not be subject in any manner to anticipation, alienation, sale, transfer, assignment, pledge, encumbrance, charge, garnishment, execution, or levy of any kind, either voluntary or involuntary. Incentive awards granted under the AIP shall be payable from the general assets of the Company, and no participant shall have any claim with respect to any specific assets of the Company.</w:t>
      </w:r>
    </w:p>
    <w:p>
      <w:pPr>
        <w:spacing w:after="0" w:line="99" w:lineRule="exact"/>
        <w:rPr>
          <w:rFonts w:ascii="Arial" w:cs="Arial" w:eastAsia="Arial" w:hAnsi="Arial"/>
          <w:sz w:val="18"/>
          <w:szCs w:val="18"/>
          <w:b w:val="1"/>
          <w:bCs w:val="1"/>
          <w:color w:val="auto"/>
        </w:rPr>
      </w:pPr>
    </w:p>
    <w:p>
      <w:pPr>
        <w:ind w:left="332" w:right="2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Nothing contained in the AIP shall give any participant the right to continue in the employment of the Company or affect the right of the Company to terminate the employment of a participant.</w:t>
      </w:r>
    </w:p>
    <w:p>
      <w:pPr>
        <w:spacing w:after="0" w:line="89" w:lineRule="exact"/>
        <w:rPr>
          <w:rFonts w:ascii="Arial" w:cs="Arial" w:eastAsia="Arial" w:hAnsi="Arial"/>
          <w:sz w:val="18"/>
          <w:szCs w:val="18"/>
          <w:b w:val="1"/>
          <w:bCs w:val="1"/>
          <w:color w:val="auto"/>
        </w:rPr>
      </w:pPr>
    </w:p>
    <w:p>
      <w:pPr>
        <w:ind w:left="332"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retains the right to deduct from any incentive awards paid under the AIP any Federal, state, local or foreign taxes required by law to be withheld with respect to such payment. In addition, if the Company in its reasonable judgment determines that a participant owes the Company any amount due to any loan, obligation or indebtedness, including amounts owed under the Company’s tax equalization program or the Company’s policies with respect to travel and business expenses, and the Participant has not satisfied these obligation(s), the Company may withhold and/or deduct funds equal to the amount of the obligation from payments under the AIP due to the Company from the participant to the maximum extent permitted by Code Section 409A.</w:t>
      </w:r>
    </w:p>
    <w:p>
      <w:pPr>
        <w:spacing w:after="0" w:line="100" w:lineRule="exact"/>
        <w:rPr>
          <w:rFonts w:ascii="Arial" w:cs="Arial" w:eastAsia="Arial" w:hAnsi="Arial"/>
          <w:sz w:val="18"/>
          <w:szCs w:val="18"/>
          <w:b w:val="1"/>
          <w:bCs w:val="1"/>
          <w:color w:val="auto"/>
        </w:rPr>
      </w:pPr>
    </w:p>
    <w:p>
      <w:pPr>
        <w:ind w:left="332"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If the participant is covered by the Company’s Clawback Policy, as may be in effect from time to time, the Awards granted under the AIP will be subject to the policy and may be subject to recovery (in whole or in part) by the Company.</w:t>
      </w:r>
    </w:p>
    <w:p>
      <w:pPr>
        <w:spacing w:after="0" w:line="310" w:lineRule="exact"/>
        <w:rPr>
          <w:rFonts w:ascii="Arial" w:cs="Arial" w:eastAsia="Arial" w:hAnsi="Arial"/>
          <w:sz w:val="18"/>
          <w:szCs w:val="18"/>
          <w:b w:val="1"/>
          <w:bCs w:val="1"/>
          <w:color w:val="auto"/>
        </w:rPr>
      </w:pPr>
    </w:p>
    <w:p>
      <w:pPr>
        <w:ind w:left="312" w:hanging="312"/>
        <w:spacing w:after="0"/>
        <w:tabs>
          <w:tab w:leader="none" w:pos="3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 the occurrence of any of the following:</w:t>
      </w:r>
    </w:p>
    <w:p>
      <w:pPr>
        <w:spacing w:after="0" w:line="139" w:lineRule="exact"/>
        <w:rPr>
          <w:rFonts w:ascii="Arial" w:cs="Arial" w:eastAsia="Arial" w:hAnsi="Arial"/>
          <w:sz w:val="18"/>
          <w:szCs w:val="18"/>
          <w:b w:val="1"/>
          <w:bCs w:val="1"/>
          <w:color w:val="auto"/>
        </w:rPr>
      </w:pPr>
    </w:p>
    <w:p>
      <w:pPr>
        <w:ind w:left="652" w:right="360" w:hanging="328"/>
        <w:spacing w:after="0" w:line="256"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person or group (as defined in Sections 13(d) and 14(d) of the Exchange Act) (other than the Company or a subsidiary of the Company or any employee benefit plan sponsored by the Company or a subsidiary) becomes the beneficial owner (as defined in Rules 13d-3 and 13d-5 under the Act) of 30% or more of the outstanding common stock of Xylem Inc. (the “Stock”);</w:t>
      </w:r>
    </w:p>
    <w:p>
      <w:pPr>
        <w:spacing w:after="0" w:line="93" w:lineRule="exact"/>
        <w:rPr>
          <w:rFonts w:ascii="Arial" w:cs="Arial" w:eastAsia="Arial" w:hAnsi="Arial"/>
          <w:sz w:val="18"/>
          <w:szCs w:val="18"/>
          <w:color w:val="auto"/>
        </w:rPr>
      </w:pPr>
    </w:p>
    <w:p>
      <w:pPr>
        <w:ind w:left="652" w:hanging="328"/>
        <w:spacing w:after="0" w:line="254"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person or group (other than the Company or a subsidiary of the Company, or any employee benefit plan sponsored by the Company or a subsidiary) purchases shares to acquire Stock (or securities convertible into Stock) through a tender offer or exchange offer where after consummation of the offer, the person in question will be the beneficial owner, directly or indirectly, of 30% or more of Stock;</w:t>
      </w:r>
    </w:p>
    <w:p>
      <w:pPr>
        <w:spacing w:after="0" w:line="95" w:lineRule="exact"/>
        <w:rPr>
          <w:rFonts w:ascii="Arial" w:cs="Arial" w:eastAsia="Arial" w:hAnsi="Arial"/>
          <w:sz w:val="18"/>
          <w:szCs w:val="18"/>
          <w:color w:val="auto"/>
        </w:rPr>
      </w:pPr>
    </w:p>
    <w:p>
      <w:pPr>
        <w:ind w:left="652" w:right="80" w:hanging="328"/>
        <w:spacing w:after="0" w:line="252" w:lineRule="auto"/>
        <w:tabs>
          <w:tab w:leader="none" w:pos="6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consummation of (A) any consolidation, business combination or merger involving the Company, except where holders of Stock immediately prior to the consolidation, business combination or merger (x) continue to hold 50% or more of the combined voting power of the Company (or the corporation resulting from the merger or consolidation or the parent of such corporation) after the merger and (y) have the same proportionate ownership of Stock of the Company (or the corporation resulting from the merger or consolidation or the parent of such corporation), relative to other holders of Stock immediately after the transaction as immediately before, or (B) any sale, lease, exchange or other transfer (in one transaction or a series of related transactions) of all or substantially all the assets of the Company;</w:t>
      </w:r>
    </w:p>
    <w:p>
      <w:pPr>
        <w:spacing w:after="0" w:line="98" w:lineRule="exact"/>
        <w:rPr>
          <w:rFonts w:ascii="Arial" w:cs="Arial" w:eastAsia="Arial" w:hAnsi="Arial"/>
          <w:sz w:val="18"/>
          <w:szCs w:val="18"/>
          <w:color w:val="auto"/>
        </w:rPr>
      </w:pPr>
    </w:p>
    <w:p>
      <w:pPr>
        <w:ind w:left="652" w:right="20" w:hanging="328"/>
        <w:spacing w:after="0" w:line="253" w:lineRule="auto"/>
        <w:tabs>
          <w:tab w:leader="none" w:pos="6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there is a change in a majority of the members of the Board of Directors of the Company within a 12-month period unless the election or nomination by the Company’s stockholders of each new director during such 12-month period was approved by the vote of 2/3rds of the directors then still in office who (x) were directors at the beginning of the 12-month period or (y) whose nomination or election as directors was recommended or approved by a majority of the directors who were directors at the beginning of the 12-month period; or</w:t>
      </w:r>
    </w:p>
    <w:p>
      <w:pPr>
        <w:sectPr>
          <w:pgSz w:w="11900" w:h="16838" w:orient="portrait"/>
          <w:cols w:equalWidth="0" w:num="1">
            <w:col w:w="11232"/>
          </w:cols>
          <w:pgMar w:left="328" w:top="1016" w:right="339" w:bottom="1440" w:gutter="0" w:footer="0" w:header="0"/>
        </w:sectPr>
      </w:pPr>
    </w:p>
    <w:bookmarkStart w:id="60" w:name="page61"/>
    <w:bookmarkEnd w:id="60"/>
    <w:p>
      <w:pPr>
        <w:jc w:val="both"/>
        <w:ind w:left="652" w:right="600" w:hanging="328"/>
        <w:spacing w:after="0" w:line="291" w:lineRule="auto"/>
        <w:tabs>
          <w:tab w:leader="none" w:pos="63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approval by the Company’s shareholders of a plan of complete liquidation or dissolution of the Company, other than a plan of liquidation or dissolution which results in the acquisition of all or substantially all of the assets by an Affiliate of the Company.</w:t>
      </w:r>
    </w:p>
    <w:p>
      <w:pPr>
        <w:spacing w:after="0" w:line="66" w:lineRule="exact"/>
        <w:rPr>
          <w:sz w:val="20"/>
          <w:szCs w:val="20"/>
          <w:color w:val="auto"/>
        </w:rPr>
      </w:pPr>
    </w:p>
    <w:p>
      <w:pPr>
        <w:ind w:left="332"/>
        <w:spacing w:after="0" w:line="253" w:lineRule="auto"/>
        <w:rPr>
          <w:sz w:val="20"/>
          <w:szCs w:val="20"/>
          <w:color w:val="auto"/>
        </w:rPr>
      </w:pPr>
      <w:r>
        <w:rPr>
          <w:rFonts w:ascii="Arial" w:cs="Arial" w:eastAsia="Arial" w:hAnsi="Arial"/>
          <w:sz w:val="18"/>
          <w:szCs w:val="18"/>
          <w:color w:val="auto"/>
        </w:rPr>
        <w:t>Upon the occurrence of a Change in Control, the Performance Measures for each Performance Period with respect to which incentive awards may be payable under the AIP shall be deemed to be achieved at the greater of (i) the Performance Target established for such Performance Measures or (ii) the Company’s actual achievement of such Performance Measures as of the Change in Control. Payment of the incentive awards, for the full year, will be made to each participant, in cash, within five (5) business days following such Change in Control.</w:t>
      </w:r>
    </w:p>
    <w:p>
      <w:pPr>
        <w:spacing w:after="0" w:line="318" w:lineRule="exact"/>
        <w:rPr>
          <w:sz w:val="20"/>
          <w:szCs w:val="20"/>
          <w:color w:val="auto"/>
        </w:rPr>
      </w:pPr>
    </w:p>
    <w:p>
      <w:pPr>
        <w:ind w:left="312" w:hanging="312"/>
        <w:spacing w:after="0"/>
        <w:tabs>
          <w:tab w:leader="none" w:pos="31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3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This AIP will be construed and governed in accordance with the laws of the State of New York.</w:t>
      </w:r>
    </w:p>
    <w:p>
      <w:pPr>
        <w:sectPr>
          <w:pgSz w:w="11900" w:h="16838" w:orient="portrait"/>
          <w:cols w:equalWidth="0" w:num="1">
            <w:col w:w="11132"/>
          </w:cols>
          <w:pgMar w:left="328" w:top="1016"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September 30, 2020;</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6350</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Patrick K. Decker</w:t>
      </w: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7"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September 30, 2020;</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6350</wp:posOffset>
            </wp:positionV>
            <wp:extent cx="25971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Sandra E. Rowland</w:t>
      </w:r>
    </w:p>
    <w:p>
      <w:pPr>
        <w:ind w:left="60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on Form 10-Q of Xylem Inc. (the “Company”) for the period ended September 30, 2020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94"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1203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2020</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Quarterly Report on Form 10-Q of Xylem Inc. (the “Company”) for the period ended September 30, 2020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96"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1203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2020</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Roman"/>
      <w:start w:val="2"/>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Roman"/>
      <w:start w:val="9"/>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decimal"/>
      <w:start w:val="7"/>
    </w:lvl>
    <w:lvl w:ilvl="1">
      <w:lvlJc w:val="left"/>
      <w:lvlText w:val="%2."/>
      <w:numFmt w:val="lowerRoman"/>
      <w:start w:val="1"/>
    </w:lvl>
  </w:abstractNum>
  <w:abstractNum w:abstractNumId="25">
    <w:nsid w:val="836C40E"/>
    <w:multiLevelType w:val="hybridMultilevel"/>
    <w:lvl w:ilvl="0">
      <w:lvlJc w:val="left"/>
      <w:lvlText w:val="%1."/>
      <w:numFmt w:val="lowerRoman"/>
      <w:start w:val="5"/>
    </w:lvl>
  </w:abstractNum>
  <w:abstractNum w:abstractNumId="26">
    <w:nsid w:val="2901D82"/>
    <w:multiLevelType w:val="hybridMultilevel"/>
    <w:lvl w:ilvl="0">
      <w:lvlJc w:val="left"/>
      <w:lvlText w:val="%1."/>
      <w:numFmt w:val="decimal"/>
      <w:start w:val="9"/>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8" Type="http://schemas.openxmlformats.org/officeDocument/2006/relationships/hyperlink" Target="http://www.sec.gov/Archives/edgar/data/1524472/000152447217000027/a8-k31xcharter.htm" TargetMode="External"/><Relationship Id="rId69" Type="http://schemas.openxmlformats.org/officeDocument/2006/relationships/hyperlink" Target="http://www.sec.gov/Archives/edgar/data/1524472/000152447217000027/a8-k32x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2020-10-29T14:11:04Z</dcterms:created>
  <dcterms:modified xsi:type="dcterms:W3CDTF">2020-10-29T14:11:04Z</dcterms:modified>
</cp:coreProperties>
</file>