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233680</wp:posOffset>
            </wp:positionH>
            <wp:positionV relativeFrom="page">
              <wp:posOffset>208915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174625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51435</wp:posOffset>
            </wp:positionV>
            <wp:extent cx="33343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18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121920</wp:posOffset>
            </wp:positionV>
            <wp:extent cx="33343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0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46990</wp:posOffset>
            </wp:positionV>
            <wp:extent cx="33343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4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XYLEM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55880</wp:posOffset>
            </wp:positionV>
            <wp:extent cx="3334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1700" w:type="dxa"/>
        <w:tblCellMar>
          <w:top w:w="0" w:type="dxa"/>
          <w:left w:w="0" w:type="dxa"/>
          <w:bottom w:w="0" w:type="dxa"/>
          <w:right w:w="0" w:type="dxa"/>
        </w:tblCellMar>
      </w:tblPr>
      <w:tr>
        <w:trPr>
          <w:trHeight w:val="238"/>
        </w:trPr>
        <w:tc>
          <w:tcPr>
            <w:tcW w:w="2440" w:type="dxa"/>
            <w:vAlign w:val="bottom"/>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360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001-35229</w:t>
            </w:r>
          </w:p>
        </w:tc>
        <w:tc>
          <w:tcPr>
            <w:tcW w:w="16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45-2080495</w:t>
            </w:r>
          </w:p>
        </w:tc>
      </w:tr>
      <w:tr>
        <w:trPr>
          <w:trHeight w:val="148"/>
        </w:trPr>
        <w:tc>
          <w:tcPr>
            <w:tcW w:w="2440" w:type="dxa"/>
            <w:vAlign w:val="bottom"/>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00" w:type="dxa"/>
            <w:vAlign w:val="bottom"/>
          </w:tcPr>
          <w:p>
            <w:pPr>
              <w:ind w:left="11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620" w:type="dxa"/>
            <w:vAlign w:val="bottom"/>
          </w:tcPr>
          <w:p>
            <w:pPr>
              <w:jc w:val="center"/>
              <w:ind w:left="4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40" w:type="dxa"/>
            <w:vAlign w:val="bottom"/>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600" w:type="dxa"/>
            <w:vAlign w:val="bottom"/>
          </w:tcPr>
          <w:p>
            <w:pPr>
              <w:ind w:left="1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20" w:type="dxa"/>
            <w:vAlign w:val="bottom"/>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3"/>
        </w:trPr>
        <w:tc>
          <w:tcPr>
            <w:tcW w:w="6040" w:type="dxa"/>
            <w:vAlign w:val="bottom"/>
            <w:gridSpan w:val="2"/>
          </w:tcPr>
          <w:p>
            <w:pPr>
              <w:jc w:val="center"/>
              <w:ind w:right="1237"/>
              <w:spacing w:after="0"/>
              <w:rPr>
                <w:sz w:val="20"/>
                <w:szCs w:val="20"/>
                <w:color w:val="auto"/>
              </w:rPr>
            </w:pPr>
            <w:r>
              <w:rPr>
                <w:rFonts w:ascii="Times New Roman" w:cs="Times New Roman" w:eastAsia="Times New Roman" w:hAnsi="Times New Roman"/>
                <w:sz w:val="18"/>
                <w:szCs w:val="18"/>
                <w:b w:val="1"/>
                <w:bCs w:val="1"/>
                <w:color w:val="auto"/>
                <w:w w:val="99"/>
              </w:rPr>
              <w:t>301 Water Street SE</w:t>
            </w:r>
          </w:p>
        </w:tc>
        <w:tc>
          <w:tcPr>
            <w:tcW w:w="16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20003</w:t>
            </w:r>
          </w:p>
        </w:tc>
      </w:tr>
      <w:tr>
        <w:trPr>
          <w:trHeight w:val="243"/>
        </w:trPr>
        <w:tc>
          <w:tcPr>
            <w:tcW w:w="244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Washington</w:t>
            </w:r>
          </w:p>
        </w:tc>
        <w:tc>
          <w:tcPr>
            <w:tcW w:w="3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DC</w:t>
            </w:r>
          </w:p>
        </w:tc>
        <w:tc>
          <w:tcPr>
            <w:tcW w:w="1620" w:type="dxa"/>
            <w:vAlign w:val="bottom"/>
          </w:tcPr>
          <w:p>
            <w:pPr>
              <w:spacing w:after="0"/>
              <w:rPr>
                <w:sz w:val="21"/>
                <w:szCs w:val="21"/>
                <w:color w:val="auto"/>
              </w:rPr>
            </w:pPr>
          </w:p>
        </w:tc>
      </w:tr>
      <w:tr>
        <w:trPr>
          <w:trHeight w:val="193"/>
        </w:trPr>
        <w:tc>
          <w:tcPr>
            <w:tcW w:w="6040" w:type="dxa"/>
            <w:vAlign w:val="bottom"/>
            <w:gridSpan w:val="2"/>
          </w:tcPr>
          <w:p>
            <w:pPr>
              <w:jc w:val="center"/>
              <w:ind w:right="121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20" w:type="dxa"/>
            <w:vAlign w:val="bottom"/>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525"/>
        </w:trPr>
        <w:tc>
          <w:tcPr>
            <w:tcW w:w="2440" w:type="dxa"/>
            <w:vAlign w:val="bottom"/>
          </w:tcPr>
          <w:p>
            <w:pPr>
              <w:spacing w:after="0"/>
              <w:rPr>
                <w:sz w:val="24"/>
                <w:szCs w:val="24"/>
                <w:color w:val="auto"/>
              </w:rPr>
            </w:pPr>
          </w:p>
        </w:tc>
        <w:tc>
          <w:tcPr>
            <w:tcW w:w="3600" w:type="dxa"/>
            <w:vAlign w:val="bottom"/>
          </w:tcPr>
          <w:p>
            <w:pPr>
              <w:jc w:val="right"/>
              <w:ind w:right="1477"/>
              <w:spacing w:after="0"/>
              <w:rPr>
                <w:sz w:val="20"/>
                <w:szCs w:val="20"/>
                <w:color w:val="auto"/>
              </w:rPr>
            </w:pPr>
            <w:r>
              <w:rPr>
                <w:rFonts w:ascii="Times New Roman" w:cs="Times New Roman" w:eastAsia="Times New Roman" w:hAnsi="Times New Roman"/>
                <w:sz w:val="18"/>
                <w:szCs w:val="18"/>
                <w:b w:val="1"/>
                <w:bCs w:val="1"/>
                <w:color w:val="auto"/>
              </w:rPr>
              <w:t>(202) 869-9150</w:t>
            </w:r>
          </w:p>
        </w:tc>
        <w:tc>
          <w:tcPr>
            <w:tcW w:w="1620" w:type="dxa"/>
            <w:vAlign w:val="bottom"/>
          </w:tcPr>
          <w:p>
            <w:pPr>
              <w:spacing w:after="0"/>
              <w:rPr>
                <w:sz w:val="24"/>
                <w:szCs w:val="24"/>
                <w:color w:val="auto"/>
              </w:rPr>
            </w:pPr>
          </w:p>
        </w:tc>
      </w:tr>
      <w:tr>
        <w:trPr>
          <w:trHeight w:val="190"/>
        </w:trPr>
        <w:tc>
          <w:tcPr>
            <w:tcW w:w="6040" w:type="dxa"/>
            <w:vAlign w:val="bottom"/>
            <w:gridSpan w:val="2"/>
          </w:tcPr>
          <w:p>
            <w:pPr>
              <w:jc w:val="center"/>
              <w:ind w:left="17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20" w:type="dxa"/>
            <w:vAlign w:val="bottom"/>
          </w:tcPr>
          <w:p>
            <w:pPr>
              <w:spacing w:after="0"/>
              <w:rPr>
                <w:sz w:val="16"/>
                <w:szCs w:val="16"/>
                <w:color w:val="auto"/>
              </w:rPr>
            </w:pPr>
          </w:p>
        </w:tc>
      </w:tr>
    </w:tbl>
    <w:p>
      <w:pPr>
        <w:spacing w:after="0" w:line="9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281940</wp:posOffset>
            </wp:positionV>
            <wp:extent cx="2914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229"/>
        </w:trPr>
        <w:tc>
          <w:tcPr>
            <w:tcW w:w="1420" w:type="dxa"/>
            <w:vAlign w:val="bottom"/>
          </w:tcPr>
          <w:p>
            <w:pPr>
              <w:spacing w:after="0"/>
              <w:rPr>
                <w:sz w:val="19"/>
                <w:szCs w:val="19"/>
                <w:color w:val="auto"/>
              </w:rPr>
            </w:pPr>
          </w:p>
        </w:tc>
        <w:tc>
          <w:tcPr>
            <w:tcW w:w="3420" w:type="dxa"/>
            <w:vAlign w:val="bottom"/>
            <w:gridSpan w:val="2"/>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Name of each exchange of which registered</w:t>
            </w:r>
          </w:p>
        </w:tc>
      </w:tr>
      <w:tr>
        <w:trPr>
          <w:trHeight w:val="20"/>
        </w:trPr>
        <w:tc>
          <w:tcPr>
            <w:tcW w:w="14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r>
      <w:tr>
        <w:trPr>
          <w:trHeight w:val="264"/>
        </w:trPr>
        <w:tc>
          <w:tcPr>
            <w:tcW w:w="484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0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7"/>
              </w:rPr>
              <w:t>XYL</w:t>
            </w:r>
          </w:p>
        </w:tc>
        <w:tc>
          <w:tcPr>
            <w:tcW w:w="560" w:type="dxa"/>
            <w:vAlign w:val="bottom"/>
          </w:tcPr>
          <w:p>
            <w:pPr>
              <w:spacing w:after="0"/>
              <w:rPr>
                <w:sz w:val="22"/>
                <w:szCs w:val="22"/>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19"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6"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7"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9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565785</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531495</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80"/>
          </w:cols>
          <w:pgMar w:left="320" w:top="1051" w:right="499" w:bottom="1440" w:gutter="0" w:footer="0" w:header="0"/>
        </w:sectPr>
      </w:pPr>
    </w:p>
    <w:bookmarkStart w:id="1" w:name="page2"/>
    <w:bookmarkEnd w:id="1"/>
    <w:p>
      <w:pPr>
        <w:ind w:left="2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16" w:lineRule="exact"/>
        <w:rPr>
          <w:sz w:val="20"/>
          <w:szCs w:val="20"/>
          <w:color w:val="auto"/>
        </w:rPr>
      </w:pPr>
    </w:p>
    <w:p>
      <w:pPr>
        <w:jc w:val="both"/>
        <w:ind w:right="400"/>
        <w:spacing w:after="0" w:line="282" w:lineRule="auto"/>
        <w:rPr>
          <w:sz w:val="20"/>
          <w:szCs w:val="20"/>
          <w:color w:val="auto"/>
        </w:rPr>
      </w:pPr>
      <w:r>
        <w:rPr>
          <w:rFonts w:ascii="Times New Roman" w:cs="Times New Roman" w:eastAsia="Times New Roman" w:hAnsi="Times New Roman"/>
          <w:sz w:val="18"/>
          <w:szCs w:val="18"/>
          <w:color w:val="auto"/>
        </w:rPr>
        <w:t>On October 27, 2026, Xylem Inc. issued a press release announcing its financial results for the quarter ended September 30, 2026. A copy of the press release is furnished as Exhibit 99.1 to this report and is incorporated by reference herein.</w:t>
      </w:r>
    </w:p>
    <w:p>
      <w:pPr>
        <w:spacing w:after="0" w:line="54"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This information shall not be deemed “filed” for purposes of Section 18 of the Securities Exchange Act of 1934, as amended (the “Exchange Act”), or incorporated by reference into any filing under the Securities Act of 1933, as amended, or the Exchange Act, except as expressly set forth by specific reference in such filing.</w:t>
      </w:r>
    </w:p>
    <w:p>
      <w:pPr>
        <w:sectPr>
          <w:pgSz w:w="11900" w:h="16838" w:orient="portrait"/>
          <w:cols w:equalWidth="0" w:num="1">
            <w:col w:w="11220"/>
          </w:cols>
          <w:pgMar w:left="320" w:top="941" w:right="359" w:bottom="1440" w:gutter="0" w:footer="0" w:header="0"/>
        </w:sectPr>
      </w:pP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right="840"/>
        <w:spacing w:after="0" w:line="239"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860" w:space="720"/>
            <w:col w:w="9640"/>
          </w:cols>
          <w:pgMar w:left="320" w:top="941" w:right="359" w:bottom="1440" w:gutter="0" w:footer="0" w:header="0"/>
          <w:type w:val="continuous"/>
        </w:sectPr>
      </w:pPr>
    </w:p>
    <w:p>
      <w:pPr>
        <w:spacing w:after="0" w:line="26"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Effective January 1, 2027, Hayati Yarkadas will cease to serve as Executive Vice President and President, Water Infrastructure and will cease to be an executive officer of the Company as a result of the Company’s decision to reorganize into three business segments and eliminate the Water Infrastructure segment.</w:t>
      </w:r>
    </w:p>
    <w:p>
      <w:pPr>
        <w:spacing w:after="0" w:line="20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On October 22, 2026, the Company and Mr. Yarkadas agreed to certain terms of a Transition Services Agreement under which he will remain employed by the Company to facilitate a smooth and orderly transition of his responsibilities and he will also lead the Company’s planned divestiture of its Applied Water International (“AW Int’l”) and Specialty Flow Control (“SFC”) businesses (collectively, the “Divestitures”). Mr. Yarkadas’ employment is expected to terminate involuntarily without cause on the earlier of March 31, 2028 or the closing date of the last Divestiture (such date the “Separation Date”), provided, however, that the Company and Mr. Yarkadas may mutually agree in writing to extend the Separation Date if the closing of the Divestitures is delayed beyond March 31, 2028 (the period from January 1, 2027 through the Separation Date, the “Transition Period”).</w:t>
      </w:r>
    </w:p>
    <w:p>
      <w:pPr>
        <w:spacing w:after="0" w:line="21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During the Transition Period, Mr. Yarkadas will receive compensation as follows: (i) his base salary at an annual rate of CHF 557,469, to be prorated through the Transition Period, (ii) continued participation in the Company’s employee benefit plans and perquisites provided pursuant to local practice in Switzerland, (iii) payment of a 2026 Annual Incentive Plan for the Executive Leadership Team award consistent with the plan’s terms and conditions, subject to the Leadership Development and Compensation Committee (“LDCC”) of the Board of Directors certifying achievement of the plan targets, (iv) participation in the Executive Annual Incentive Plan (“AIP”) specific to AW Int’l and SFC in 2027 and 2028, if applicable, subject to his continued employment and with payment consistent with the terms and conditions of the Executive AIP or the Xylem Senior Executive Severance Plan (amended and restated as of January 1, 2026) (the “Severance Plan”), as applicable; and (v) a special cash Success Incentive of USD 1,200,000 intended to incentivize the closing of the Divestitures and related value creation for the Company and its shareholders resulting from the Divestitures, which incentive will be earned upon the closing of the final Divestiture, subject to continued compliance with applicable restrictive covenants and obligations. The Company retains sole discretion regarding whether and when to pursue or complete either Divestiture, the identity of the purchaser, the transaction value and other terms. The Success Incentive will be paid as soon as practicable following the closing of the final Divestiture, but no later than 30 days following the closing date of the last Divestiture. If Mr. Yarkadas’ employment is involuntarily terminated without cause, or terminates due to his death or disability, before the closing of both Divestitures, the Success Incentive will be paid within 30 days following his termination of employment. No Success Incentive will be payable if Mr. Yarkadas voluntarily resigns or his employment is terminated for cause before the Separation Date.</w:t>
      </w:r>
    </w:p>
    <w:p>
      <w:pPr>
        <w:spacing w:after="0" w:line="215"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In addition, upon Mr. Yarkadas’ involuntary termination without cause, he will receive severance benefits consistent with the terms and conditions of the Severance Plan. The LDCC designated Mr. Yarkadas as a covered employee under the Severance Plan through the Separation Date and waived application of the Severance Plan’s divestiture exclusion in connection with the Divestitures.</w:t>
      </w:r>
    </w:p>
    <w:p>
      <w:pPr>
        <w:spacing w:after="0" w:line="21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In addition, consistent with the LDCC’s decision to provide similar treatment to other eligible employees impacted by the elimination of the Water Infrastructure segment or the Divestitures, Mr. Yarkadas will receive “Enhanced Equity Treatment” with modified terms and conditions as follows: (i) with respect to outstanding 2024 and 2025 long-term incentive (“LTI”) awards, pro-rata vesting and based on actual performance, as applicable; (ii) with respect to the outstanding 2026 LTI awards, pro-rata vesting of performance share units based on actual performance and continued vesting of restricted stock units and non-qualified stock options; (iii) with respect to non-qualified stock options granted in 2025 or earlier that are vested as of, or become vested in connection with, Mr. Yarkadas’ involuntary termination without cause, a three-year post-termination exercise period, but in any case no later than the applicable stock option’s original expiration date, and (iv) with respect to non-qualified stock options granted in 2026 that vest pursuant to the foregoing treatment, continued exercisability through their original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type w:val="continuous"/>
        </w:sectPr>
      </w:pPr>
    </w:p>
    <w:bookmarkStart w:id="2" w:name="page3"/>
    <w:bookmarkEnd w:id="2"/>
    <w:p>
      <w:pPr>
        <w:ind w:left="2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140"/>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color w:val="auto"/>
        </w:rPr>
        <w:t>Press Release issued by Xylem Inc. on October 27, 2026.</w:t>
      </w:r>
    </w:p>
    <w:p>
      <w:pPr>
        <w:spacing w:after="0" w:line="36"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18"/>
          <w:szCs w:val="18"/>
          <w:color w:val="auto"/>
        </w:rPr>
        <w:t>104.0</w:t>
        <w:tab/>
        <w:t>The cover page from Xylem Inc.'s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49" w:right="1440"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XYLEM INC.</w:t>
      </w:r>
    </w:p>
    <w:p>
      <w:pPr>
        <w:spacing w:after="0" w:line="94" w:lineRule="exact"/>
        <w:rPr>
          <w:sz w:val="20"/>
          <w:szCs w:val="20"/>
          <w:color w:val="auto"/>
        </w:rPr>
      </w:pPr>
    </w:p>
    <w:p>
      <w:pPr>
        <w:ind w:left="20"/>
        <w:spacing w:after="0"/>
        <w:tabs>
          <w:tab w:leader="none" w:pos="4820" w:val="left"/>
          <w:tab w:leader="none" w:pos="5520" w:val="left"/>
        </w:tabs>
        <w:rPr>
          <w:sz w:val="20"/>
          <w:szCs w:val="20"/>
          <w:color w:val="auto"/>
        </w:rPr>
      </w:pPr>
      <w:r>
        <w:rPr>
          <w:rFonts w:ascii="Times New Roman" w:cs="Times New Roman" w:eastAsia="Times New Roman" w:hAnsi="Times New Roman"/>
          <w:sz w:val="18"/>
          <w:szCs w:val="18"/>
          <w:color w:val="auto"/>
        </w:rPr>
        <w:t>Date: October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Andrea van der 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17145</wp:posOffset>
            </wp:positionV>
            <wp:extent cx="36258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Andrea van der Berg</w:t>
      </w:r>
    </w:p>
    <w:p>
      <w:pPr>
        <w:spacing w:after="0" w:line="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p>
      <w:pPr>
        <w:ind w:left="5540"/>
        <w:spacing w:after="0"/>
        <w:rPr>
          <w:sz w:val="20"/>
          <w:szCs w:val="20"/>
          <w:color w:val="auto"/>
        </w:rPr>
      </w:pPr>
      <w:r>
        <w:rPr>
          <w:rFonts w:ascii="Times New Roman" w:cs="Times New Roman" w:eastAsia="Times New Roman" w:hAnsi="Times New Roman"/>
          <w:sz w:val="18"/>
          <w:szCs w:val="18"/>
          <w:color w:val="auto"/>
        </w:rPr>
        <w:t>(Authorized Officer of Registrant)</w:t>
      </w:r>
    </w:p>
    <w:p>
      <w:pPr>
        <w:sectPr>
          <w:pgSz w:w="11900" w:h="16838" w:orient="portrait"/>
          <w:cols w:equalWidth="0" w:num="1">
            <w:col w:w="11200"/>
          </w:cols>
          <w:pgMar w:left="320" w:top="887"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120650</wp:posOffset>
            </wp:positionV>
            <wp:extent cx="985520"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855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b w:val="1"/>
          <w:bCs w:val="1"/>
          <w:color w:val="525353"/>
        </w:rPr>
        <w:t>Xylem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525353"/>
        </w:rPr>
        <w:t>301 Water Street SE, Suite 200</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525353"/>
        </w:rPr>
        <w:t>Washington, DC 20003</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525353"/>
        </w:rPr>
        <w:t>Tel +1.202.869.9150</w:t>
      </w:r>
    </w:p>
    <w:p>
      <w:pPr>
        <w:spacing w:after="0" w:line="282" w:lineRule="exact"/>
        <w:rPr>
          <w:sz w:val="20"/>
          <w:szCs w:val="20"/>
          <w:color w:val="auto"/>
        </w:rPr>
      </w:pPr>
    </w:p>
    <w:p>
      <w:pPr>
        <w:ind w:left="20"/>
        <w:spacing w:after="0"/>
        <w:tabs>
          <w:tab w:leader="none" w:pos="1560" w:val="left"/>
          <w:tab w:leader="none" w:pos="6620" w:val="left"/>
        </w:tabs>
        <w:rPr>
          <w:sz w:val="20"/>
          <w:szCs w:val="20"/>
          <w:color w:val="auto"/>
        </w:rPr>
      </w:pPr>
      <w:r>
        <w:rPr>
          <w:rFonts w:ascii="Arial" w:cs="Arial" w:eastAsia="Arial" w:hAnsi="Arial"/>
          <w:sz w:val="20"/>
          <w:szCs w:val="20"/>
          <w:b w:val="1"/>
          <w:bCs w:val="1"/>
          <w:color w:val="auto"/>
        </w:rPr>
        <w:t>Contacts:</w:t>
      </w:r>
      <w:r>
        <w:rPr>
          <w:sz w:val="20"/>
          <w:szCs w:val="20"/>
          <w:color w:val="auto"/>
        </w:rPr>
        <w:tab/>
      </w:r>
      <w:r>
        <w:rPr>
          <w:rFonts w:ascii="Arial" w:cs="Arial" w:eastAsia="Arial" w:hAnsi="Arial"/>
          <w:sz w:val="20"/>
          <w:szCs w:val="20"/>
          <w:color w:val="auto"/>
        </w:rPr>
        <w:t>Media</w:t>
      </w:r>
      <w:r>
        <w:rPr>
          <w:sz w:val="20"/>
          <w:szCs w:val="20"/>
          <w:color w:val="auto"/>
        </w:rPr>
        <w:tab/>
      </w:r>
      <w:r>
        <w:rPr>
          <w:rFonts w:ascii="Arial" w:cs="Arial" w:eastAsia="Arial" w:hAnsi="Arial"/>
          <w:sz w:val="19"/>
          <w:szCs w:val="19"/>
          <w:color w:val="auto"/>
        </w:rPr>
        <w:t>Investors</w:t>
      </w:r>
    </w:p>
    <w:p>
      <w:pPr>
        <w:spacing w:after="0" w:line="43" w:lineRule="exact"/>
        <w:rPr>
          <w:sz w:val="20"/>
          <w:szCs w:val="20"/>
          <w:color w:val="auto"/>
        </w:rPr>
      </w:pPr>
    </w:p>
    <w:p>
      <w:pPr>
        <w:ind w:left="1580"/>
        <w:spacing w:after="0"/>
        <w:tabs>
          <w:tab w:leader="none" w:pos="6620" w:val="left"/>
        </w:tabs>
        <w:rPr>
          <w:sz w:val="20"/>
          <w:szCs w:val="20"/>
          <w:color w:val="auto"/>
        </w:rPr>
      </w:pPr>
      <w:r>
        <w:rPr>
          <w:rFonts w:ascii="Arial" w:cs="Arial" w:eastAsia="Arial" w:hAnsi="Arial"/>
          <w:sz w:val="20"/>
          <w:szCs w:val="20"/>
          <w:color w:val="auto"/>
        </w:rPr>
        <w:t>Press Office</w:t>
      </w:r>
      <w:r>
        <w:rPr>
          <w:sz w:val="20"/>
          <w:szCs w:val="20"/>
          <w:color w:val="auto"/>
        </w:rPr>
        <w:tab/>
      </w:r>
      <w:r>
        <w:rPr>
          <w:rFonts w:ascii="Arial" w:cs="Arial" w:eastAsia="Arial" w:hAnsi="Arial"/>
          <w:sz w:val="19"/>
          <w:szCs w:val="19"/>
          <w:color w:val="auto"/>
        </w:rPr>
        <w:t>Greg Giometti</w:t>
      </w:r>
    </w:p>
    <w:p>
      <w:pPr>
        <w:spacing w:after="0" w:line="39" w:lineRule="exact"/>
        <w:rPr>
          <w:sz w:val="20"/>
          <w:szCs w:val="20"/>
          <w:color w:val="auto"/>
        </w:rPr>
      </w:pPr>
    </w:p>
    <w:p>
      <w:pPr>
        <w:ind w:left="1580"/>
        <w:spacing w:after="0"/>
        <w:tabs>
          <w:tab w:leader="none" w:pos="6620" w:val="left"/>
        </w:tabs>
        <w:rPr>
          <w:sz w:val="20"/>
          <w:szCs w:val="20"/>
          <w:color w:val="auto"/>
        </w:rPr>
      </w:pPr>
      <w:r>
        <w:rPr>
          <w:rFonts w:ascii="Arial" w:cs="Arial" w:eastAsia="Arial" w:hAnsi="Arial"/>
          <w:sz w:val="20"/>
          <w:szCs w:val="20"/>
          <w:color w:val="auto"/>
        </w:rPr>
        <w:t>+1 (978) 704-5149</w:t>
      </w:r>
      <w:r>
        <w:rPr>
          <w:sz w:val="20"/>
          <w:szCs w:val="20"/>
          <w:color w:val="auto"/>
        </w:rPr>
        <w:tab/>
      </w:r>
      <w:r>
        <w:rPr>
          <w:rFonts w:ascii="Arial" w:cs="Arial" w:eastAsia="Arial" w:hAnsi="Arial"/>
          <w:sz w:val="19"/>
          <w:szCs w:val="19"/>
          <w:color w:val="auto"/>
        </w:rPr>
        <w:t>Michael Travers</w:t>
      </w:r>
    </w:p>
    <w:p>
      <w:pPr>
        <w:spacing w:after="0" w:line="40" w:lineRule="exact"/>
        <w:rPr>
          <w:sz w:val="20"/>
          <w:szCs w:val="20"/>
          <w:color w:val="auto"/>
        </w:rPr>
      </w:pPr>
    </w:p>
    <w:p>
      <w:pPr>
        <w:ind w:left="1580"/>
        <w:spacing w:after="0"/>
        <w:tabs>
          <w:tab w:leader="none" w:pos="6620" w:val="left"/>
        </w:tabs>
        <w:rPr>
          <w:sz w:val="20"/>
          <w:szCs w:val="20"/>
          <w:color w:val="auto"/>
        </w:rPr>
      </w:pPr>
      <w:r>
        <w:rPr>
          <w:rFonts w:ascii="Arial" w:cs="Arial" w:eastAsia="Arial" w:hAnsi="Arial"/>
          <w:sz w:val="20"/>
          <w:szCs w:val="20"/>
          <w:color w:val="0E32E1"/>
        </w:rPr>
        <w:t>PressOffice@xylem.com</w:t>
      </w:r>
      <w:r>
        <w:rPr>
          <w:sz w:val="20"/>
          <w:szCs w:val="20"/>
          <w:color w:val="auto"/>
        </w:rPr>
        <w:tab/>
      </w:r>
      <w:r>
        <w:rPr>
          <w:rFonts w:ascii="Arial" w:cs="Arial" w:eastAsia="Arial" w:hAnsi="Arial"/>
          <w:sz w:val="20"/>
          <w:szCs w:val="20"/>
          <w:color w:val="0E32E1"/>
        </w:rPr>
        <w:t>Investor.Relations@xylem.com</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Xylem Reports Third Quarter 2026 Results and Announces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Strategic Actions to Accelerate Growth</w:t>
      </w:r>
    </w:p>
    <w:p>
      <w:pPr>
        <w:spacing w:after="0" w:line="209" w:lineRule="exact"/>
        <w:rPr>
          <w:sz w:val="20"/>
          <w:szCs w:val="20"/>
          <w:color w:val="auto"/>
        </w:rPr>
      </w:pPr>
    </w:p>
    <w:p>
      <w:pPr>
        <w:ind w:left="660" w:right="600" w:hanging="328"/>
        <w:spacing w:after="0" w:line="247"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2"/>
          <w:szCs w:val="22"/>
          <w:b w:val="1"/>
          <w:bCs w:val="1"/>
          <w:color w:val="auto"/>
        </w:rPr>
        <w:t>Strong orders and backlog, solid earnings performance and margin expansion reflect operational excellence despite a more cautious spending environment</w:t>
      </w:r>
    </w:p>
    <w:p>
      <w:pPr>
        <w:ind w:left="660" w:right="200" w:hanging="328"/>
        <w:spacing w:after="0" w:line="251" w:lineRule="auto"/>
        <w:tabs>
          <w:tab w:leader="none" w:pos="635" w:val="left"/>
        </w:tabs>
        <w:numPr>
          <w:ilvl w:val="0"/>
          <w:numId w:val="2"/>
        </w:numPr>
        <w:rPr>
          <w:rFonts w:ascii="Arial" w:cs="Arial" w:eastAsia="Arial" w:hAnsi="Arial"/>
          <w:sz w:val="20"/>
          <w:szCs w:val="20"/>
          <w:color w:val="auto"/>
        </w:rPr>
      </w:pPr>
      <w:r>
        <w:rPr>
          <w:rFonts w:ascii="Arial" w:cs="Arial" w:eastAsia="Arial" w:hAnsi="Arial"/>
          <w:sz w:val="22"/>
          <w:szCs w:val="22"/>
          <w:b w:val="1"/>
          <w:bCs w:val="1"/>
          <w:color w:val="auto"/>
        </w:rPr>
        <w:t>Company accelerates transformation strategy, announces intent to divest Applied Water International and Specialty Flow Control; and move to three segment structure in 2027</w:t>
      </w:r>
    </w:p>
    <w:p>
      <w:pPr>
        <w:spacing w:after="0" w:line="196" w:lineRule="exact"/>
        <w:rPr>
          <w:sz w:val="20"/>
          <w:szCs w:val="20"/>
          <w:color w:val="auto"/>
        </w:rPr>
      </w:pPr>
    </w:p>
    <w:p>
      <w:pPr>
        <w:ind w:right="320"/>
        <w:spacing w:after="0" w:line="249" w:lineRule="auto"/>
        <w:rPr>
          <w:sz w:val="20"/>
          <w:szCs w:val="20"/>
          <w:color w:val="auto"/>
        </w:rPr>
      </w:pPr>
      <w:r>
        <w:rPr>
          <w:rFonts w:ascii="Arial" w:cs="Arial" w:eastAsia="Arial" w:hAnsi="Arial"/>
          <w:sz w:val="20"/>
          <w:szCs w:val="20"/>
          <w:b w:val="1"/>
          <w:bCs w:val="1"/>
          <w:color w:val="auto"/>
        </w:rPr>
        <w:t xml:space="preserve">WASHINGTON, D.C., </w:t>
      </w:r>
      <w:r>
        <w:rPr>
          <w:rFonts w:ascii="Arial" w:cs="Arial" w:eastAsia="Arial" w:hAnsi="Arial"/>
          <w:sz w:val="20"/>
          <w:szCs w:val="20"/>
          <w:color w:val="auto"/>
        </w:rPr>
        <w:t>October 27, 2026 – Xylem Inc. (NYSE: XYL), a leading global water solutions company dedicated to</w:t>
      </w:r>
      <w:r>
        <w:rPr>
          <w:rFonts w:ascii="Arial" w:cs="Arial" w:eastAsia="Arial" w:hAnsi="Arial"/>
          <w:sz w:val="20"/>
          <w:szCs w:val="20"/>
          <w:b w:val="1"/>
          <w:bCs w:val="1"/>
          <w:color w:val="auto"/>
        </w:rPr>
        <w:t xml:space="preserve"> </w:t>
      </w:r>
      <w:r>
        <w:rPr>
          <w:rFonts w:ascii="Arial" w:cs="Arial" w:eastAsia="Arial" w:hAnsi="Arial"/>
          <w:sz w:val="20"/>
          <w:szCs w:val="20"/>
          <w:color w:val="auto"/>
        </w:rPr>
        <w:t>solving the world’s most challenging water issues, today reported third-quarter 2026 results and announced actions to further accelerate its portfolio transformation.</w:t>
      </w:r>
    </w:p>
    <w:p>
      <w:pPr>
        <w:spacing w:after="0" w:line="204"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While revenue was impacted by project timing and more cautious spending decisions, strong order activity and solid earnings performance demonstrated the resilience of the business and the benefits of the company’s transformation. Xylem also announced its intent to divest Applied Water International and Specialty Flow Control, and beginning in 2027, the alignment of its businesses from four segments to three.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 Quarter Results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Highlights:</w:t>
      </w:r>
    </w:p>
    <w:p>
      <w:pPr>
        <w:spacing w:after="0" w:line="4"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Orders of $2.3 billion, up 7% on a reported basis and 10% organically</w:t>
      </w: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of $2.2 billion, down 3% on a reported basis and flat organically</w:t>
      </w: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Earnings per share of $1.25, up 34%; $1.44 on an adjusted basis, up 5%</w:t>
      </w:r>
    </w:p>
    <w:p>
      <w:pPr>
        <w:spacing w:after="0" w:line="225" w:lineRule="exact"/>
        <w:rPr>
          <w:sz w:val="20"/>
          <w:szCs w:val="20"/>
          <w:color w:val="auto"/>
        </w:rPr>
      </w:pPr>
    </w:p>
    <w:p>
      <w:pPr>
        <w:ind w:right="440"/>
        <w:spacing w:after="0" w:line="255" w:lineRule="auto"/>
        <w:rPr>
          <w:sz w:val="20"/>
          <w:szCs w:val="20"/>
          <w:color w:val="auto"/>
        </w:rPr>
      </w:pPr>
      <w:r>
        <w:rPr>
          <w:rFonts w:ascii="Arial" w:cs="Arial" w:eastAsia="Arial" w:hAnsi="Arial"/>
          <w:sz w:val="20"/>
          <w:szCs w:val="20"/>
          <w:color w:val="auto"/>
        </w:rPr>
        <w:t>Third quarter results reflected a mixed operating environment. The company delivered total revenue of $2.2 billion against a dynamic backdrop. Third-quarter earnings per share were up 34 percent on a reported basis and 5 percent on an adjusted basis.</w:t>
      </w:r>
    </w:p>
    <w:p>
      <w:pPr>
        <w:spacing w:after="0" w:line="198"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Net income attributable to Xylem for the quarter was $291 million, or $1.25 per share. Net income margin increased 320 basis points to 13.2 percent. These results are primarily driven by strong operational performance and lower loss on sale of businesses, partially offset by increased interest and income tax expense. Adjusted net income attributable to Xylem was $336 million, or $1.44 per share, which excludes purchase accounting intangible amortization, loss on sale of businesses, restructuring and realignment costs, and special charges, including the impact of IEEPA tariff refunds.</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890" w:right="339" w:bottom="1440" w:gutter="0" w:footer="0" w:header="0"/>
          <w:type w:val="continuous"/>
        </w:sectPr>
      </w:pPr>
    </w:p>
    <w:bookmarkStart w:id="5" w:name="page6"/>
    <w:bookmarkEnd w:id="5"/>
    <w:p>
      <w:pPr>
        <w:ind w:right="700"/>
        <w:spacing w:after="0" w:line="255" w:lineRule="auto"/>
        <w:rPr>
          <w:sz w:val="20"/>
          <w:szCs w:val="20"/>
          <w:color w:val="auto"/>
        </w:rPr>
      </w:pPr>
      <w:r>
        <w:rPr>
          <w:rFonts w:ascii="Arial" w:cs="Arial" w:eastAsia="Arial" w:hAnsi="Arial"/>
          <w:sz w:val="20"/>
          <w:szCs w:val="20"/>
          <w:color w:val="auto"/>
        </w:rPr>
        <w:t>Third-quarter adjusted earnings before interest, tax, depreciation, and amortization (EBITDA) margin was 23.9 percent, reflecting a year-over-year increase of 70 basis points. Productivity savings and strong price realization drove the margin expansion, exceeding the impact of inflation, lower volumes, and mix.</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231" w:lineRule="exact"/>
        <w:rPr>
          <w:sz w:val="20"/>
          <w:szCs w:val="20"/>
          <w:color w:val="auto"/>
        </w:rPr>
      </w:pPr>
    </w:p>
    <w:p>
      <w:pPr>
        <w:ind w:right="180"/>
        <w:spacing w:after="0" w:line="271" w:lineRule="auto"/>
        <w:rPr>
          <w:sz w:val="20"/>
          <w:szCs w:val="20"/>
          <w:color w:val="auto"/>
        </w:rPr>
      </w:pPr>
      <w:r>
        <w:rPr>
          <w:rFonts w:ascii="Arial" w:cs="Arial" w:eastAsia="Arial" w:hAnsi="Arial"/>
          <w:sz w:val="20"/>
          <w:szCs w:val="20"/>
          <w:color w:val="auto"/>
        </w:rPr>
        <w:t>Xylem now forecasts full-year 2026 revenue of approximately $8.95 billion, down 1 percent year over year on a reported basis, versus prior guidance of up 2 percent, and flat on an organic basis, versus prior guidance of up 2 to 3 percent.</w:t>
      </w:r>
    </w:p>
    <w:p>
      <w:pPr>
        <w:spacing w:after="0" w:line="183"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Full-year 2026 adjusted EBITDA margin is expected to be approximately 23.2 percent, an increase of 100 basis points versus Xylem’s 2025 adjusted results. This results in full-year adjusted earnings per share of $5.40 to $5.45, down from the previous guidance range of $5.55 to $5.70. Full-year free cash flow margin is expected to be approximately 10.2 percent, versus 10.2 to 11.0 percent previously guided.</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 xml:space="preserve">Further 2026 planning assumptions are included in Xylem’s third-quarter 2026 earnings materials posted at </w:t>
      </w:r>
      <w:r>
        <w:rPr>
          <w:rFonts w:ascii="Arial" w:cs="Arial" w:eastAsia="Arial" w:hAnsi="Arial"/>
          <w:sz w:val="19"/>
          <w:szCs w:val="19"/>
          <w:color w:val="0000FF"/>
        </w:rPr>
        <w:t>www.xylem.com/investors</w:t>
      </w:r>
      <w:r>
        <w:rPr>
          <w:rFonts w:ascii="Arial" w:cs="Arial" w:eastAsia="Arial" w:hAnsi="Arial"/>
          <w:sz w:val="19"/>
          <w:szCs w:val="19"/>
          <w:color w:val="000000"/>
        </w:rPr>
        <w:t>. Excluding revenue, Xylem provides guidance only on a non-GAAP basis due to the inherent difficulty</w:t>
      </w:r>
      <w:r>
        <w:rPr>
          <w:rFonts w:ascii="Arial" w:cs="Arial" w:eastAsia="Arial" w:hAnsi="Arial"/>
          <w:sz w:val="19"/>
          <w:szCs w:val="19"/>
          <w:color w:val="0000FF"/>
        </w:rPr>
        <w:t xml:space="preserve"> </w:t>
      </w:r>
      <w:r>
        <w:rPr>
          <w:rFonts w:ascii="Arial" w:cs="Arial" w:eastAsia="Arial" w:hAnsi="Arial"/>
          <w:sz w:val="19"/>
          <w:szCs w:val="19"/>
          <w:color w:val="000000"/>
        </w:rPr>
        <w:t>in forecasting certain amounts that would be included in GAAP earnings, such as discrete tax items, without unreasonable effort.</w:t>
      </w:r>
    </w:p>
    <w:p>
      <w:pPr>
        <w:spacing w:after="0" w:line="186" w:lineRule="exact"/>
        <w:rPr>
          <w:sz w:val="20"/>
          <w:szCs w:val="20"/>
          <w:color w:val="auto"/>
        </w:rPr>
      </w:pPr>
    </w:p>
    <w:p>
      <w:pPr>
        <w:ind w:right="240"/>
        <w:spacing w:after="0" w:line="271" w:lineRule="auto"/>
        <w:rPr>
          <w:sz w:val="20"/>
          <w:szCs w:val="20"/>
          <w:color w:val="auto"/>
        </w:rPr>
      </w:pPr>
      <w:r>
        <w:rPr>
          <w:rFonts w:ascii="Arial" w:cs="Arial" w:eastAsia="Arial" w:hAnsi="Arial"/>
          <w:sz w:val="20"/>
          <w:szCs w:val="20"/>
          <w:color w:val="auto"/>
        </w:rPr>
        <w:t xml:space="preserve">Supplemental information on Xylem’s third-quarter earnings, as well as definitions of and reconciliations for certain non-GAAP items is posted at </w:t>
      </w:r>
      <w:r>
        <w:rPr>
          <w:rFonts w:ascii="Arial" w:cs="Arial" w:eastAsia="Arial" w:hAnsi="Arial"/>
          <w:sz w:val="20"/>
          <w:szCs w:val="20"/>
          <w:color w:val="0000FF"/>
        </w:rPr>
        <w:t>www.xylem.com/investors</w:t>
      </w:r>
      <w:r>
        <w:rPr>
          <w:rFonts w:ascii="Arial" w:cs="Arial" w:eastAsia="Arial" w:hAnsi="Arial"/>
          <w:sz w:val="20"/>
          <w:szCs w:val="20"/>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Sharpening Xylem’s Focus for Growth</w:t>
      </w:r>
    </w:p>
    <w:p>
      <w:pPr>
        <w:spacing w:after="0" w:line="245" w:lineRule="exact"/>
        <w:rPr>
          <w:sz w:val="20"/>
          <w:szCs w:val="20"/>
          <w:color w:val="auto"/>
        </w:rPr>
      </w:pPr>
    </w:p>
    <w:p>
      <w:pPr>
        <w:ind w:right="40"/>
        <w:spacing w:after="0" w:line="271" w:lineRule="auto"/>
        <w:rPr>
          <w:sz w:val="20"/>
          <w:szCs w:val="20"/>
          <w:color w:val="auto"/>
        </w:rPr>
      </w:pPr>
      <w:r>
        <w:rPr>
          <w:rFonts w:ascii="Arial" w:cs="Arial" w:eastAsia="Arial" w:hAnsi="Arial"/>
          <w:sz w:val="20"/>
          <w:szCs w:val="20"/>
          <w:color w:val="auto"/>
        </w:rPr>
        <w:t>Xylem's planned divestiture of Applied Water International and Specialty Flow Control and its move to a three-segment structure are designed to create a more focused company aligned around customer needs and long-term growth priorities.</w:t>
      </w:r>
    </w:p>
    <w:p>
      <w:pPr>
        <w:spacing w:after="0" w:line="169"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The planned divestitures further sharpen Xylem’s focus, enabling the company to direct capital toward the technologies, capabilities and markets that align most closely with its long-term strategy. Xylem is already seeing momentum in high-growth industry verticals, including data centers and microelectronics, reinforcing the opportunity to increase investment and exposure in these markets.</w:t>
      </w:r>
    </w:p>
    <w:p>
      <w:pPr>
        <w:spacing w:after="0" w:line="203" w:lineRule="exact"/>
        <w:rPr>
          <w:sz w:val="20"/>
          <w:szCs w:val="20"/>
          <w:color w:val="auto"/>
        </w:rPr>
      </w:pPr>
    </w:p>
    <w:p>
      <w:pPr>
        <w:ind w:right="240"/>
        <w:spacing w:after="0" w:line="243" w:lineRule="auto"/>
        <w:rPr>
          <w:sz w:val="20"/>
          <w:szCs w:val="20"/>
          <w:color w:val="auto"/>
        </w:rPr>
      </w:pPr>
      <w:r>
        <w:rPr>
          <w:rFonts w:ascii="Arial" w:cs="Arial" w:eastAsia="Arial" w:hAnsi="Arial"/>
          <w:sz w:val="20"/>
          <w:szCs w:val="20"/>
          <w:color w:val="auto"/>
        </w:rPr>
        <w:t>Beginning January 1, 2027, Xylem will align its business into three segments: Treatment and Services, Flow Solutions, and Measurement and Analytics. The new structure brings together complementary technologies and capabilities around the core activities of moving water, treating water, and measuring and optimizing water systems. By bringing together businesses with shared customers, technologies and growth opportunities, Xylem expects to unlock greater value across the portfolio and operate with greater simplicity, speed and accountability. Treatment and Services will be led by Rodney Aulick; Flow Solutions will be led by Joe Johnston; and Measurement and Analytics will be led by Meredith Emmerich.</w:t>
      </w:r>
    </w:p>
    <w:p>
      <w:pPr>
        <w:spacing w:after="0" w:line="209"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color w:val="auto"/>
        </w:rPr>
        <w:t>“We’re moving with urgency to shape Xylem around the markets where our capabilities can deliver the greatest customer value and strongest long-term growth," said Matthew Pine, president and CEO of Xylem. "The resilience we’ve built, evident this quarter, allows us to make those choices deliberately and from a position of strength.”</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Xylem</w:t>
      </w:r>
    </w:p>
    <w:p>
      <w:pPr>
        <w:spacing w:after="0" w:line="231"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 xml:space="preserve">Xylem (XYL) is a Fortune 500 global water solutions company that empowers customers and communities to build a more water-secure world. Our 22,000 employees delivered revenue of $9 billion in 2025, optimizing water and resource management with innovation and expertise. Join us at </w:t>
      </w:r>
      <w:r>
        <w:rPr>
          <w:rFonts w:ascii="Arial" w:cs="Arial" w:eastAsia="Arial" w:hAnsi="Arial"/>
          <w:sz w:val="20"/>
          <w:szCs w:val="20"/>
          <w:color w:val="0000FF"/>
        </w:rPr>
        <w:t>www.xylem.com</w:t>
      </w:r>
      <w:r>
        <w:rPr>
          <w:rFonts w:ascii="Arial" w:cs="Arial" w:eastAsia="Arial" w:hAnsi="Arial"/>
          <w:sz w:val="20"/>
          <w:szCs w:val="20"/>
          <w:color w:val="auto"/>
        </w:rPr>
        <w:t xml:space="preserve"> and Let’s Solve Water.</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30" w:right="339" w:bottom="1440" w:gutter="0" w:footer="0" w:header="0"/>
        </w:sectPr>
      </w:pPr>
    </w:p>
    <w:bookmarkStart w:id="6" w:name="page7"/>
    <w:bookmarkEnd w:id="6"/>
    <w:p>
      <w:pPr>
        <w:jc w:val="both"/>
        <w:ind w:right="220"/>
        <w:spacing w:after="0" w:line="250" w:lineRule="auto"/>
        <w:rPr>
          <w:sz w:val="20"/>
          <w:szCs w:val="20"/>
          <w:color w:val="auto"/>
        </w:rPr>
      </w:pPr>
      <w:r>
        <w:rPr>
          <w:rFonts w:ascii="Arial" w:cs="Arial" w:eastAsia="Arial" w:hAnsi="Arial"/>
          <w:sz w:val="20"/>
          <w:szCs w:val="20"/>
          <w:color w:val="auto"/>
        </w:rPr>
        <w:t xml:space="preserve">Xylem uses our Investor Relations website, </w:t>
      </w:r>
      <w:r>
        <w:rPr>
          <w:rFonts w:ascii="Arial" w:cs="Arial" w:eastAsia="Arial" w:hAnsi="Arial"/>
          <w:sz w:val="20"/>
          <w:szCs w:val="20"/>
          <w:color w:val="0000FF"/>
        </w:rPr>
        <w:t>www.xylem.com/investors</w:t>
      </w:r>
      <w:r>
        <w:rPr>
          <w:rFonts w:ascii="Arial" w:cs="Arial" w:eastAsia="Arial" w:hAnsi="Arial"/>
          <w:sz w:val="20"/>
          <w:szCs w:val="20"/>
          <w:color w:val="auto"/>
        </w:rPr>
        <w:t>,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45" w:lineRule="exact"/>
        <w:rPr>
          <w:sz w:val="20"/>
          <w:szCs w:val="20"/>
          <w:color w:val="auto"/>
        </w:rPr>
      </w:pPr>
    </w:p>
    <w:p>
      <w:pPr>
        <w:ind w:right="140"/>
        <w:spacing w:after="0" w:line="236" w:lineRule="auto"/>
        <w:rPr>
          <w:sz w:val="20"/>
          <w:szCs w:val="20"/>
          <w:color w:val="auto"/>
        </w:rPr>
      </w:pPr>
      <w:r>
        <w:rPr>
          <w:rFonts w:ascii="Arial" w:cs="Arial" w:eastAsia="Arial" w:hAnsi="Arial"/>
          <w:sz w:val="20"/>
          <w:szCs w:val="20"/>
          <w:color w:val="auto"/>
        </w:rPr>
        <w:t>This press release contains “forward-looking statements” within the meaning of Section 27A of the Securities Act of 1933, as amended, and Section 21E of the Securities Exchange Act of 1934, as amended. Generally, the words “anticipate,” “estimate,” “expect,” “project,” “intend,” “plan,” “contemplate,” “predict,” “forecast,” “likely,” “believe,” “target,” “goal,” “objective,” “will,” “could,” “would,” “should,” “potential,” “may” and similar expressions or their negative, may, but are not necessarily to, identify forward-looking statements. By their nature, forward-looking statements address uncertain matters and include any statements that: are not historical, such as statements about our strategy, financial plans, outlook, objectives, plans, intentions or goals (including those related to our social, environmental and other sustainability goals); or address possible or future results of operations or financial performance, including statements relating to orders, revenues, operating margins and earnings per share growth.</w:t>
      </w:r>
    </w:p>
    <w:p>
      <w:pPr>
        <w:spacing w:after="0" w:line="206"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performance and achievements, or industry results to differ materially from estimates or projections contained in or implied by our forward-looking statements include, among others, the following: the impact of overall industry and general economic conditions, including industrial, governmental, and public and private sector demand and spending, interest rates, availability of funding to our customers, timing of customers’ capital spending and project deployments, inflation and governments' related monetary policy in response, and the strength of the real estate markets, on economic activity and our operations; geopolitical matters, including nationalism, protectionism and anti-global sentiment, volatility involving the U.S. and other governments, ongoing, escalation or outbreak of international conflicts, and regulatory, trade protection, economic and other risks associated with our global sales and operations; manufacturing and operating cost increases due to macroeconomic conditions, including inflation, energy supply, supply chain shortages, logistics challenges, labor shortages, trade agreements, tariffs, and other trade protection measures, and other factors; demand for our products, disruption, competition or pricing pressures in the markets we serve; cybersecurity incidents, data breaches, or other disruptions of information technology systems on which we or our customers rely, or involving our connected products and services; lack of availability or delays in receiving parts and raw materials from our supply chain, including semiconductors or other key components; operational disruptions at our facilities or that of third parties upon which we rely; safe and compliant treatment and handling of water, wastewater and hazardous materials; failure to successfully execute large projects, including as respects performance guarantees and customers’ budgets, timelines and safety requirements; our ability to retain, compete for, and attract leadership, other key talent and labor; defects, security, warranty and liability claims, and recalls related to our products; uncertainty around productivity, simplification, restructuring and realignment actions and related costs and savings; our ability to execute strategic investments for growth and portfolio optimization actions, including acquisitions and divestitures; availability, regulation or interference with radio spectrum used by certain of our products; volatility in served markets or impacts on our business and operations due to weather conditions, volatile weather events, or changing climate patterns; risks related to our sustainability efforts and related disclosures; fluctuations in foreign currency exchange rates; our level of indebtedness, including debt incurred to finance the pending Cornell Pump and Roper Pump acquisition; difficulty predicting our financial results; risk of future impairments to goodwill and other intangible assets; changes in our effective tax rates or tax expenses; failure to comply with, or changes in, laws or regulations, pertaining to our business conduct, operations, products and services, including anti-corruption, artificial intelligence, data privacy and security, trade, competition, the environment, and health and safety; legal, governmental or regulatory claims, investigations or proceedings and associated contingent liabilities; matters related to intellectual property infringement or expiration of rights; and other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130" w:right="359" w:bottom="1440" w:gutter="0" w:footer="0" w:header="0"/>
        </w:sectPr>
      </w:pPr>
    </w:p>
    <w:bookmarkStart w:id="7" w:name="page8"/>
    <w:bookmarkEnd w:id="7"/>
    <w:p>
      <w:pPr>
        <w:spacing w:after="0" w:line="257" w:lineRule="auto"/>
        <w:rPr>
          <w:sz w:val="20"/>
          <w:szCs w:val="20"/>
          <w:color w:val="auto"/>
        </w:rPr>
      </w:pPr>
      <w:r>
        <w:rPr>
          <w:rFonts w:ascii="Arial" w:cs="Arial" w:eastAsia="Arial" w:hAnsi="Arial"/>
          <w:sz w:val="20"/>
          <w:szCs w:val="20"/>
          <w:color w:val="auto"/>
        </w:rPr>
        <w:t>factors set forth under “Item 1A. Risk Factors” in our Annual Report on Form 10-K for the year ended December 31, 2025 and in subsequent filings we make with the Securities and Exchange Commission (“SEC”).</w:t>
      </w:r>
    </w:p>
    <w:p>
      <w:pPr>
        <w:spacing w:after="0" w:line="196" w:lineRule="exact"/>
        <w:rPr>
          <w:sz w:val="20"/>
          <w:szCs w:val="20"/>
          <w:color w:val="auto"/>
        </w:rPr>
      </w:pPr>
    </w:p>
    <w:p>
      <w:pPr>
        <w:ind w:right="400"/>
        <w:spacing w:after="0" w:line="248" w:lineRule="auto"/>
        <w:rPr>
          <w:sz w:val="20"/>
          <w:szCs w:val="20"/>
          <w:color w:val="auto"/>
        </w:rPr>
      </w:pPr>
      <w:r>
        <w:rPr>
          <w:rFonts w:ascii="Arial" w:cs="Arial" w:eastAsia="Arial" w:hAnsi="Arial"/>
          <w:sz w:val="20"/>
          <w:szCs w:val="20"/>
          <w:color w:val="auto"/>
        </w:rPr>
        <w:t>All forward-looking statements made herein are based on information currently available to us as of the date of this press release. We undertake no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887"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INCOME STATEMENTS (Unaudited) (in millions, except per share data)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For the periods ended September 30,</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3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products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1,807</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5,517</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0" w:type="dxa"/>
            <w:vAlign w:val="bottom"/>
          </w:tcPr>
          <w:p>
            <w:pPr>
              <w:spacing w:after="0"/>
              <w:rPr>
                <w:sz w:val="1"/>
                <w:szCs w:val="1"/>
                <w:color w:val="auto"/>
              </w:rPr>
            </w:pPr>
          </w:p>
        </w:tc>
      </w:tr>
      <w:tr>
        <w:trPr>
          <w:trHeight w:val="24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w:t>
            </w:r>
          </w:p>
        </w:tc>
        <w:tc>
          <w:tcPr>
            <w:tcW w:w="14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1,145</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37"/>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2,201</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6,662</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from products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1,026</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 from services</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14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1,294</w:t>
            </w:r>
          </w:p>
        </w:tc>
        <w:tc>
          <w:tcPr>
            <w:tcW w:w="1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3,989</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0" w:type="dxa"/>
            <w:vAlign w:val="bottom"/>
          </w:tcPr>
          <w:p>
            <w:pPr>
              <w:spacing w:after="0"/>
              <w:rPr>
                <w:sz w:val="1"/>
                <w:szCs w:val="1"/>
                <w:color w:val="auto"/>
              </w:rPr>
            </w:pPr>
          </w:p>
        </w:tc>
      </w:tr>
      <w:tr>
        <w:trPr>
          <w:trHeight w:val="236"/>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907</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2,673</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4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and asset impairment charges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4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7"/>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1,019</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net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sale of businesses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6"/>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taxes</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973</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4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4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62"/>
        </w:trPr>
        <w:tc>
          <w:tcPr>
            <w:tcW w:w="4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30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8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2"/>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Xylem</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747</w:t>
            </w:r>
          </w:p>
        </w:tc>
        <w:tc>
          <w:tcPr>
            <w:tcW w:w="1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43"/>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4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3.14</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232.7</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233.0</w:t>
            </w: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237.7</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8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7"/>
                <w:szCs w:val="17"/>
                <w:color w:val="auto"/>
              </w:rPr>
            </w:pP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7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3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189"/>
        </w:trPr>
        <w:tc>
          <w:tcPr>
            <w:tcW w:w="778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Receivables, less allowances for discounts, returns and credit losses of $58 and $68 in 2026 and 2025,</w:t>
            </w:r>
          </w:p>
        </w:tc>
        <w:tc>
          <w:tcPr>
            <w:tcW w:w="18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4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7"/>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4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62"/>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440" w:type="dxa"/>
            <w:vAlign w:val="bottom"/>
            <w:gridSpan w:val="3"/>
          </w:tcPr>
          <w:p>
            <w:pPr>
              <w:ind w:left="140"/>
              <w:spacing w:after="0" w:line="190" w:lineRule="exact"/>
              <w:rPr>
                <w:sz w:val="20"/>
                <w:szCs w:val="20"/>
                <w:color w:val="auto"/>
              </w:rPr>
            </w:pPr>
            <w:r>
              <w:rPr>
                <w:rFonts w:ascii="Times New Roman" w:cs="Times New Roman" w:eastAsia="Times New Roman" w:hAnsi="Times New Roman"/>
                <w:sz w:val="18"/>
                <w:szCs w:val="18"/>
                <w:b w:val="1"/>
                <w:bCs w:val="1"/>
                <w:color w:val="auto"/>
              </w:rPr>
              <w:t>LIABILITIES, REDEEMABLE NON-CONTROLLING INTEREST AND STOCKHOLDERS’ EQUITY</w:t>
            </w:r>
          </w:p>
        </w:tc>
        <w:tc>
          <w:tcPr>
            <w:tcW w:w="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4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borrowings and current maturities of long-term debt</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4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post-retirement benefit obligations</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non-current accrued liabilities</w:t>
            </w: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37"/>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6,815</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0" w:type="dxa"/>
            <w:vAlign w:val="bottom"/>
          </w:tcPr>
          <w:p>
            <w:pPr>
              <w:spacing w:after="0"/>
              <w:rPr>
                <w:sz w:val="1"/>
                <w:szCs w:val="1"/>
                <w:color w:val="auto"/>
              </w:rPr>
            </w:pPr>
          </w:p>
        </w:tc>
      </w:tr>
      <w:tr>
        <w:trPr>
          <w:trHeight w:val="23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 par value $0.01 per share:</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750.0 shares, issued 260.3 shares and 259.9 shares in 2026 and 2025, respectively</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0" w:type="dxa"/>
            <w:vAlign w:val="bottom"/>
          </w:tcPr>
          <w:p>
            <w:pPr>
              <w:spacing w:after="0"/>
              <w:rPr>
                <w:sz w:val="1"/>
                <w:szCs w:val="1"/>
                <w:color w:val="auto"/>
              </w:rPr>
            </w:pPr>
          </w:p>
        </w:tc>
      </w:tr>
      <w:tr>
        <w:trPr>
          <w:trHeight w:val="24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stock – at cost 30.0 shares and 16.3 shares in 2026 and 2025, respectively</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10,269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0" w:type="dxa"/>
            <w:vAlign w:val="bottom"/>
          </w:tcPr>
          <w:p>
            <w:pPr>
              <w:spacing w:after="0"/>
              <w:rPr>
                <w:sz w:val="1"/>
                <w:szCs w:val="1"/>
                <w:color w:val="auto"/>
              </w:rPr>
            </w:pPr>
          </w:p>
        </w:tc>
      </w:tr>
      <w:tr>
        <w:trPr>
          <w:trHeight w:val="236"/>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10,272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0" w:type="dxa"/>
            <w:vAlign w:val="bottom"/>
          </w:tcPr>
          <w:p>
            <w:pPr>
              <w:spacing w:after="0"/>
              <w:rPr>
                <w:sz w:val="1"/>
                <w:szCs w:val="1"/>
                <w:color w:val="auto"/>
              </w:rPr>
            </w:pPr>
          </w:p>
        </w:tc>
      </w:tr>
      <w:tr>
        <w:trPr>
          <w:trHeight w:val="262"/>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320" w:top="887"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 the periods ended June 30,</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4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and asset impairment charges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sale of businesses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for restructuring</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receivables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inventories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accounts payable</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accrued and deferred taxes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long term receivables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43"/>
        </w:trPr>
        <w:tc>
          <w:tcPr>
            <w:tcW w:w="8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7"/>
        </w:trPr>
        <w:tc>
          <w:tcPr>
            <w:tcW w:w="82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 Operating activities</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4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business, net of cash disposed</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the sale of property, plant and equipment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received from investments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investments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equity investments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asset acquisition</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received from cross-currency swaps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8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82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 Investing activities</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3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debt issued, net</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debt repaid</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issued, net</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debt repaid, net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 of employee stock options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43"/>
        </w:trPr>
        <w:tc>
          <w:tcPr>
            <w:tcW w:w="8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7"/>
        </w:trPr>
        <w:tc>
          <w:tcPr>
            <w:tcW w:w="82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 Financing activities</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36"/>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cash classified within assets held for sale</w:t>
            </w:r>
          </w:p>
        </w:tc>
        <w:tc>
          <w:tcPr>
            <w:tcW w:w="3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Decrease in cash classified within assets held for sale</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7"/>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cash classified within assets held for sale</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23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708</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45"/>
        </w:trPr>
        <w:tc>
          <w:tcPr>
            <w:tcW w:w="824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r>
      <w:tr>
        <w:trPr>
          <w:trHeight w:val="204"/>
        </w:trPr>
        <w:tc>
          <w:tcPr>
            <w:tcW w:w="8240" w:type="dxa"/>
            <w:vAlign w:val="bottom"/>
            <w:tcBorders>
              <w:top w:val="single" w:sz="8" w:color="CCEEFF"/>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8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Income taxes (net of refunds received)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bl>
    <w:p>
      <w:pPr>
        <w:spacing w:after="0" w:line="200" w:lineRule="exact"/>
        <w:rPr>
          <w:sz w:val="20"/>
          <w:szCs w:val="20"/>
          <w:color w:val="auto"/>
        </w:rPr>
      </w:pPr>
    </w:p>
    <w:p>
      <w:pPr>
        <w:sectPr>
          <w:pgSz w:w="11900" w:h="16838" w:orient="portrait"/>
          <w:cols w:equalWidth="0" w:num="1">
            <w:col w:w="11220"/>
          </w:cols>
          <w:pgMar w:left="320" w:top="887" w:right="359" w:bottom="889"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20"/>
          </w:cols>
          <w:pgMar w:left="320" w:top="887" w:right="359" w:bottom="889" w:gutter="0" w:footer="0" w:header="0"/>
          <w:type w:val="continuous"/>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color w:val="auto"/>
        </w:rPr>
        <w:t>Xylem Inc. Non-GAAP Measures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Management reviews key performance indicators including revenue, gross margins, segment operating income and margins,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items to represent non-GAAP measures that we consider to be key performance indicators, as well as the related reconciling items to the most directly comparable measure calculated and presented in accordance with GAAP. The non-GAAP measures may not be comparable to similarly titled measures reported by other companies.</w:t>
      </w:r>
    </w:p>
    <w:p>
      <w:pPr>
        <w:spacing w:after="0" w:line="7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“Organic revenue”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“Organic orders” </w:t>
      </w:r>
      <w:r>
        <w:rPr>
          <w:rFonts w:ascii="Times New Roman" w:cs="Times New Roman" w:eastAsia="Times New Roman" w:hAnsi="Times New Roman"/>
          <w:sz w:val="18"/>
          <w:szCs w:val="18"/>
          <w:color w:val="auto"/>
        </w:rPr>
        <w:t>defined as revenue and orders, respectively, excluding the impact of fluctuations in foreign currency translation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contributions from acquisitions and divestitures. Divestitures include sales or discontinuance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spacing w:after="0" w:line="68"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“EBITDA” </w:t>
      </w:r>
      <w:r>
        <w:rPr>
          <w:rFonts w:ascii="Times New Roman" w:cs="Times New Roman" w:eastAsia="Times New Roman" w:hAnsi="Times New Roman"/>
          <w:sz w:val="18"/>
          <w:szCs w:val="18"/>
          <w:color w:val="auto"/>
        </w:rPr>
        <w:t>defined as earnings before interest, taxes, depreciation and amortization expense.</w:t>
      </w:r>
      <w:r>
        <w:rPr>
          <w:rFonts w:ascii="Times New Roman" w:cs="Times New Roman" w:eastAsia="Times New Roman" w:hAnsi="Times New Roman"/>
          <w:sz w:val="18"/>
          <w:szCs w:val="18"/>
          <w:b w:val="1"/>
          <w:bCs w:val="1"/>
          <w:color w:val="auto"/>
        </w:rPr>
        <w:t xml:space="preserve"> “Adjusted EBITDA”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"Adjusted Segment EBITDA" </w:t>
      </w:r>
      <w:r>
        <w:rPr>
          <w:rFonts w:ascii="Times New Roman" w:cs="Times New Roman" w:eastAsia="Times New Roman" w:hAnsi="Times New Roman"/>
          <w:sz w:val="18"/>
          <w:szCs w:val="18"/>
          <w:color w:val="auto"/>
        </w:rPr>
        <w:t>reflect the adjustments to EBITDA and segment EBITDA, respectively, to exclude share-based compensation charges, restructuring and realignment costs, gain or loss from sale of businesses and special charges.</w:t>
      </w:r>
    </w:p>
    <w:p>
      <w:pPr>
        <w:spacing w:after="0" w:line="63"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EBITDA Margin”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“Adjusted Segment EBITDA Margin” </w:t>
      </w:r>
      <w:r>
        <w:rPr>
          <w:rFonts w:ascii="Times New Roman" w:cs="Times New Roman" w:eastAsia="Times New Roman" w:hAnsi="Times New Roman"/>
          <w:sz w:val="18"/>
          <w:szCs w:val="18"/>
          <w:color w:val="auto"/>
        </w:rPr>
        <w:t>defined as adjusted EBITDA and adjusted segment EBITDA divided by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and segment revenue, respectively.</w:t>
      </w:r>
    </w:p>
    <w:p>
      <w:pPr>
        <w:spacing w:after="0" w:line="4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“Adjusted Operating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“Adjusted Segment Operating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“Adjusted Net Income”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“Adjusted EPS” </w:t>
      </w:r>
      <w:r>
        <w:rPr>
          <w:rFonts w:ascii="Times New Roman" w:cs="Times New Roman" w:eastAsia="Times New Roman" w:hAnsi="Times New Roman"/>
          <w:sz w:val="18"/>
          <w:szCs w:val="18"/>
          <w:color w:val="auto"/>
        </w:rPr>
        <w:t>defined as operating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segment operating income, net income attributable to Xylem and earnings per share attributable to Xylem, adjusted to exclude restructuring and realignment costs, amortization of acquired intangible assets, gain or loss from sale of businesses, special charges and tax-related special items, as applicable.</w:t>
      </w:r>
    </w:p>
    <w:p>
      <w:pPr>
        <w:spacing w:after="0" w:line="6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Operating Margin”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“Adjusted Segment Operating Margin” </w:t>
      </w:r>
      <w:r>
        <w:rPr>
          <w:rFonts w:ascii="Times New Roman" w:cs="Times New Roman" w:eastAsia="Times New Roman" w:hAnsi="Times New Roman"/>
          <w:sz w:val="18"/>
          <w:szCs w:val="18"/>
          <w:color w:val="auto"/>
        </w:rPr>
        <w:t>defined as adjusted operating income and adjusted segment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divided by total revenue and segment revenue, respectively.</w:t>
      </w:r>
    </w:p>
    <w:p>
      <w:pPr>
        <w:spacing w:after="0" w:line="4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color w:val="auto"/>
        </w:rPr>
        <w:t>defined as net cash from operating activities, less capital expenditures, as reported in the Statement of Cash Flows. Our definition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free cash flow does not consider certain non-discretionary cash payments, such as debt.</w:t>
      </w:r>
    </w:p>
    <w:p>
      <w:pPr>
        <w:spacing w:after="0" w:line="4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"Free Cash Flow Margin" </w:t>
      </w:r>
      <w:r>
        <w:rPr>
          <w:rFonts w:ascii="Times New Roman" w:cs="Times New Roman" w:eastAsia="Times New Roman" w:hAnsi="Times New Roman"/>
          <w:sz w:val="18"/>
          <w:szCs w:val="18"/>
          <w:color w:val="auto"/>
        </w:rPr>
        <w:t>defined as free cash flow, adjusted (as applicable) for significant cash paid or received for non-operational tax, acquisition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divestiture activities; divided by revenue.</w:t>
      </w:r>
    </w:p>
    <w:p>
      <w:pPr>
        <w:spacing w:after="0" w:line="4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“Realignment costs” </w:t>
      </w:r>
      <w:r>
        <w:rPr>
          <w:rFonts w:ascii="Times New Roman" w:cs="Times New Roman" w:eastAsia="Times New Roman" w:hAnsi="Times New Roman"/>
          <w:sz w:val="18"/>
          <w:szCs w:val="18"/>
          <w:color w:val="auto"/>
        </w:rPr>
        <w:t>defined as costs not included in restructuring costs that are incurred as part of actions taken to reposition our business,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items such as professional fees, severance, relocation, travel, facility set-up and other costs.</w:t>
      </w:r>
    </w:p>
    <w:p>
      <w:pPr>
        <w:spacing w:after="0" w:line="4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“Special charges” </w:t>
      </w:r>
      <w:r>
        <w:rPr>
          <w:rFonts w:ascii="Times New Roman" w:cs="Times New Roman" w:eastAsia="Times New Roman" w:hAnsi="Times New Roman"/>
          <w:sz w:val="18"/>
          <w:szCs w:val="18"/>
          <w:color w:val="auto"/>
        </w:rPr>
        <w:t>defined as non-recurring costs incurred by the Company, such as those related to acquisitions and integrations, divestitures, non-cash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impairment charges and other special charges. In 2026, these charges include reductions of expense related to the refunds of certain tariffs previously imposed under the International Emergency Economic Powers Act ("IEEPA").</w:t>
      </w:r>
    </w:p>
    <w:p>
      <w:pPr>
        <w:spacing w:after="0" w:line="6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“Tax-related special items” </w:t>
      </w:r>
      <w:r>
        <w:rPr>
          <w:rFonts w:ascii="Times New Roman" w:cs="Times New Roman" w:eastAsia="Times New Roman" w:hAnsi="Times New Roman"/>
          <w:sz w:val="18"/>
          <w:szCs w:val="18"/>
          <w:color w:val="auto"/>
        </w:rPr>
        <w:t>defined as tax items, such as tax return versus tax provision adjustments, tax exam impacts, tax law change impacts, excess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benefits/losses and other discrete tax adjustments.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891"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Xylem Inc. Non-GAAP Reconciliation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Reported vs. Organic Orders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(As Reported - GAAP)</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6"/>
          </w:tcPr>
          <w:p>
            <w:pPr>
              <w:ind w:left="760"/>
              <w:spacing w:after="0"/>
              <w:rPr>
                <w:sz w:val="20"/>
                <w:szCs w:val="20"/>
                <w:color w:val="auto"/>
              </w:rPr>
            </w:pPr>
            <w:r>
              <w:rPr>
                <w:rFonts w:ascii="Times New Roman" w:cs="Times New Roman" w:eastAsia="Times New Roman" w:hAnsi="Times New Roman"/>
                <w:sz w:val="14"/>
                <w:szCs w:val="14"/>
                <w:b w:val="1"/>
                <w:bCs w:val="1"/>
                <w:color w:val="auto"/>
              </w:rPr>
              <w:t>(As Adjusted - Organic)</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(A)</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2"/>
              </w:rPr>
              <w:t>(B)</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(C)</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(D)</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5"/>
              </w:rPr>
              <w:t>(F)=B+C+D+E</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(G)=F/(A-D)</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5"/>
              </w:rPr>
              <w:t>Change 2026 v.</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 Change 2026 v.</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Change</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 Change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color w:val="auto"/>
                <w:w w:val="96"/>
              </w:rPr>
              <w:t>Adj.</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Orders</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Orders</w:t>
            </w:r>
          </w:p>
        </w:tc>
        <w:tc>
          <w:tcPr>
            <w:tcW w:w="1020" w:type="dxa"/>
            <w:vAlign w:val="bottom"/>
            <w:gridSpan w:val="3"/>
          </w:tcPr>
          <w:p>
            <w:pPr>
              <w:jc w:val="center"/>
              <w:ind w:left="88"/>
              <w:spacing w:after="0"/>
              <w:rPr>
                <w:sz w:val="20"/>
                <w:szCs w:val="20"/>
                <w:color w:val="auto"/>
              </w:rPr>
            </w:pPr>
            <w:r>
              <w:rPr>
                <w:rFonts w:ascii="Times New Roman" w:cs="Times New Roman" w:eastAsia="Times New Roman" w:hAnsi="Times New Roman"/>
                <w:sz w:val="13"/>
                <w:szCs w:val="13"/>
                <w:color w:val="auto"/>
                <w:w w:val="99"/>
              </w:rPr>
              <w:t>2025</w:t>
            </w:r>
          </w:p>
        </w:tc>
        <w:tc>
          <w:tcPr>
            <w:tcW w:w="100" w:type="dxa"/>
            <w:vAlign w:val="bottom"/>
          </w:tcPr>
          <w:p>
            <w:pPr>
              <w:spacing w:after="0"/>
              <w:rPr>
                <w:sz w:val="15"/>
                <w:szCs w:val="15"/>
                <w:color w:val="auto"/>
              </w:rPr>
            </w:pPr>
          </w:p>
        </w:tc>
        <w:tc>
          <w:tcPr>
            <w:tcW w:w="980" w:type="dxa"/>
            <w:vAlign w:val="bottom"/>
          </w:tcPr>
          <w:p>
            <w:pPr>
              <w:jc w:val="right"/>
              <w:ind w:right="289"/>
              <w:spacing w:after="0"/>
              <w:rPr>
                <w:sz w:val="20"/>
                <w:szCs w:val="20"/>
                <w:color w:val="auto"/>
              </w:rPr>
            </w:pPr>
            <w:r>
              <w:rPr>
                <w:rFonts w:ascii="Times New Roman" w:cs="Times New Roman" w:eastAsia="Times New Roman" w:hAnsi="Times New Roman"/>
                <w:sz w:val="13"/>
                <w:szCs w:val="13"/>
                <w:color w:val="auto"/>
              </w:rPr>
              <w:t>2025</w:t>
            </w:r>
          </w:p>
        </w:tc>
        <w:tc>
          <w:tcPr>
            <w:tcW w:w="100" w:type="dxa"/>
            <w:vAlign w:val="bottom"/>
          </w:tcPr>
          <w:p>
            <w:pPr>
              <w:spacing w:after="0"/>
              <w:rPr>
                <w:sz w:val="15"/>
                <w:szCs w:val="15"/>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Book-to-Bill</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Acquisitions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Divestitures</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FX Impact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3"/>
              </w:rPr>
              <w:t>2026 v. 2025</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Adj. 2026 v. 2025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6"/>
                <w:szCs w:val="16"/>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240" w:type="dxa"/>
            <w:vAlign w:val="bottom"/>
            <w:gridSpan w:val="8"/>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80" w:type="dxa"/>
            <w:vAlign w:val="bottom"/>
            <w:tcBorders>
              <w:top w:val="single" w:sz="8" w:color="auto"/>
            </w:tcBorders>
            <w:gridSpan w:val="2"/>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30</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Xylem Inc.</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7,645</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6,513</w:t>
            </w:r>
          </w:p>
        </w:tc>
        <w:tc>
          <w:tcPr>
            <w:tcW w:w="1020" w:type="dxa"/>
            <w:vAlign w:val="bottom"/>
            <w:tcBorders>
              <w:bottom w:val="single" w:sz="8" w:color="CCEEFF"/>
            </w:tcBorders>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1,132</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Water Infrastructure</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w:t>
            </w:r>
          </w:p>
        </w:tc>
        <w:tc>
          <w:tcPr>
            <w:tcW w:w="1020" w:type="dxa"/>
            <w:vAlign w:val="bottom"/>
            <w:gridSpan w:val="3"/>
          </w:tcPr>
          <w:p>
            <w:pPr>
              <w:jc w:val="right"/>
              <w:ind w:right="17"/>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Applied Water</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1020" w:type="dxa"/>
            <w:vAlign w:val="bottom"/>
            <w:tcBorders>
              <w:bottom w:val="single" w:sz="8" w:color="CCEEFF"/>
            </w:tcBorders>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gridSpan w:val="8"/>
          </w:tcPr>
          <w:p>
            <w:pPr>
              <w:spacing w:after="0" w:line="153" w:lineRule="exact"/>
              <w:rPr>
                <w:sz w:val="20"/>
                <w:szCs w:val="20"/>
                <w:color w:val="auto"/>
              </w:rPr>
            </w:pPr>
            <w:r>
              <w:rPr>
                <w:rFonts w:ascii="Times New Roman" w:cs="Times New Roman" w:eastAsia="Times New Roman" w:hAnsi="Times New Roman"/>
                <w:sz w:val="14"/>
                <w:szCs w:val="14"/>
                <w:color w:val="auto"/>
              </w:rPr>
              <w:t>Measurement &amp;</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1020" w:type="dxa"/>
            <w:vAlign w:val="bottom"/>
            <w:gridSpan w:val="3"/>
            <w:vMerge w:val="restart"/>
          </w:tcPr>
          <w:p>
            <w:pPr>
              <w:jc w:val="right"/>
              <w:ind w:right="17"/>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Control Solutions</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1240" w:type="dxa"/>
            <w:vAlign w:val="bottom"/>
            <w:gridSpan w:val="8"/>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Water Solutions &amp;</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1020" w:type="dxa"/>
            <w:vAlign w:val="bottom"/>
            <w:gridSpan w:val="3"/>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145 %</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2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Services</w:t>
            </w: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2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Borders>
              <w:top w:val="single" w:sz="8" w:color="auto"/>
            </w:tcBorders>
            <w:gridSpan w:val="6"/>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gridSpan w:val="2"/>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Xylem Inc.</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w:t>
            </w:r>
          </w:p>
        </w:tc>
        <w:tc>
          <w:tcPr>
            <w:tcW w:w="1020" w:type="dxa"/>
            <w:vAlign w:val="bottom"/>
            <w:tcBorders>
              <w:bottom w:val="single" w:sz="8" w:color="CCEEFF"/>
            </w:tcBorders>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Water Infrastructure</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Applied Water</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20" w:type="dxa"/>
            <w:vAlign w:val="bottom"/>
            <w:tcBorders>
              <w:bottom w:val="single" w:sz="8" w:color="CCEEFF"/>
            </w:tcBorders>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gridSpan w:val="8"/>
          </w:tcPr>
          <w:p>
            <w:pPr>
              <w:spacing w:after="0" w:line="153" w:lineRule="exact"/>
              <w:rPr>
                <w:sz w:val="20"/>
                <w:szCs w:val="20"/>
                <w:color w:val="auto"/>
              </w:rPr>
            </w:pPr>
            <w:r>
              <w:rPr>
                <w:rFonts w:ascii="Times New Roman" w:cs="Times New Roman" w:eastAsia="Times New Roman" w:hAnsi="Times New Roman"/>
                <w:sz w:val="14"/>
                <w:szCs w:val="14"/>
                <w:color w:val="auto"/>
              </w:rPr>
              <w:t>Measurement and</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20" w:type="dxa"/>
            <w:vAlign w:val="bottom"/>
            <w:gridSpan w:val="3"/>
            <w:vMerge w:val="restart"/>
          </w:tcPr>
          <w:p>
            <w:pPr>
              <w:jc w:val="right"/>
              <w:ind w:right="17"/>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116 %</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3"/>
                <w:szCs w:val="13"/>
                <w:color w:val="auto"/>
              </w:rPr>
            </w:pP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Control Solutions</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1240" w:type="dxa"/>
            <w:vAlign w:val="bottom"/>
            <w:gridSpan w:val="8"/>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Water Solutions and</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20" w:type="dxa"/>
            <w:vAlign w:val="bottom"/>
            <w:gridSpan w:val="3"/>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2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Services</w:t>
            </w: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2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40" w:type="dxa"/>
            <w:vAlign w:val="bottom"/>
            <w:tcBorders>
              <w:top w:val="single" w:sz="8" w:color="auto"/>
            </w:tcBorders>
            <w:gridSpan w:val="6"/>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gridSpan w:val="2"/>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Xylem Inc.</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3,086</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1020" w:type="dxa"/>
            <w:vAlign w:val="bottom"/>
            <w:tcBorders>
              <w:bottom w:val="single" w:sz="8" w:color="CCEEFF"/>
            </w:tcBorders>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912</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132 %</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Water Infrastructure</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Applied Water</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020" w:type="dxa"/>
            <w:vAlign w:val="bottom"/>
            <w:tcBorders>
              <w:bottom w:val="single" w:sz="8" w:color="CCEEFF"/>
            </w:tcBorders>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gridSpan w:val="8"/>
          </w:tcPr>
          <w:p>
            <w:pPr>
              <w:spacing w:after="0" w:line="153" w:lineRule="exact"/>
              <w:rPr>
                <w:sz w:val="20"/>
                <w:szCs w:val="20"/>
                <w:color w:val="auto"/>
              </w:rPr>
            </w:pPr>
            <w:r>
              <w:rPr>
                <w:rFonts w:ascii="Times New Roman" w:cs="Times New Roman" w:eastAsia="Times New Roman" w:hAnsi="Times New Roman"/>
                <w:sz w:val="14"/>
                <w:szCs w:val="14"/>
                <w:color w:val="auto"/>
              </w:rPr>
              <w:t>Measurement and</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100" w:type="dxa"/>
            <w:vAlign w:val="bottom"/>
          </w:tcPr>
          <w:p>
            <w:pPr>
              <w:spacing w:after="0"/>
              <w:rPr>
                <w:sz w:val="13"/>
                <w:szCs w:val="13"/>
                <w:color w:val="auto"/>
              </w:rPr>
            </w:pPr>
          </w:p>
        </w:tc>
        <w:tc>
          <w:tcPr>
            <w:tcW w:w="10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Control Solutions</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1240" w:type="dxa"/>
            <w:vAlign w:val="bottom"/>
            <w:gridSpan w:val="8"/>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Water Solutions and</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020" w:type="dxa"/>
            <w:vAlign w:val="bottom"/>
            <w:gridSpan w:val="3"/>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225 %</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147 %</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2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Services</w:t>
            </w: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2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40" w:type="dxa"/>
            <w:vAlign w:val="bottom"/>
            <w:tcBorders>
              <w:top w:val="single" w:sz="8" w:color="auto"/>
            </w:tcBorders>
            <w:gridSpan w:val="6"/>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gridSpan w:val="2"/>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Xylem Inc.</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2,158</w:t>
            </w:r>
          </w:p>
        </w:tc>
        <w:tc>
          <w:tcPr>
            <w:tcW w:w="1020" w:type="dxa"/>
            <w:vAlign w:val="bottom"/>
            <w:tcBorders>
              <w:bottom w:val="single" w:sz="8" w:color="CCEEFF"/>
            </w:tcBorders>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Water Infrastructure</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020" w:type="dxa"/>
            <w:vAlign w:val="bottom"/>
            <w:gridSpan w:val="3"/>
          </w:tcPr>
          <w:p>
            <w:pPr>
              <w:jc w:val="right"/>
              <w:ind w:right="17"/>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Applied Water</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020" w:type="dxa"/>
            <w:vAlign w:val="bottom"/>
            <w:tcBorders>
              <w:bottom w:val="single" w:sz="8" w:color="CCEEFF"/>
            </w:tcBorders>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gridSpan w:val="8"/>
          </w:tcPr>
          <w:p>
            <w:pPr>
              <w:spacing w:after="0" w:line="153" w:lineRule="exact"/>
              <w:rPr>
                <w:sz w:val="20"/>
                <w:szCs w:val="20"/>
                <w:color w:val="auto"/>
              </w:rPr>
            </w:pPr>
            <w:r>
              <w:rPr>
                <w:rFonts w:ascii="Times New Roman" w:cs="Times New Roman" w:eastAsia="Times New Roman" w:hAnsi="Times New Roman"/>
                <w:sz w:val="14"/>
                <w:szCs w:val="14"/>
                <w:color w:val="auto"/>
              </w:rPr>
              <w:t>Measurement and</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20" w:type="dxa"/>
            <w:vAlign w:val="bottom"/>
            <w:gridSpan w:val="3"/>
            <w:vMerge w:val="restart"/>
          </w:tcPr>
          <w:p>
            <w:pPr>
              <w:jc w:val="right"/>
              <w:ind w:right="17"/>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100" w:type="dxa"/>
            <w:vAlign w:val="bottom"/>
          </w:tcPr>
          <w:p>
            <w:pPr>
              <w:spacing w:after="0"/>
              <w:rPr>
                <w:sz w:val="13"/>
                <w:szCs w:val="13"/>
                <w:color w:val="auto"/>
              </w:rPr>
            </w:pPr>
          </w:p>
        </w:tc>
        <w:tc>
          <w:tcPr>
            <w:tcW w:w="10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Control Solutions</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1240" w:type="dxa"/>
            <w:vAlign w:val="bottom"/>
            <w:gridSpan w:val="8"/>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Water Solutions and</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0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2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Services</w:t>
            </w: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2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89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Xylem Inc. Non-GAAP Reconciliation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Reported vs. Organic Revenue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(As Reported - GAAP)</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(As Adjusted - Organic)</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(A)</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w w:val="96"/>
              </w:rPr>
              <w:t>(B)</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(C)</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(F)=B+C+D+E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(G)=F/(A-D)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Revenue</w:t>
            </w:r>
          </w:p>
        </w:tc>
        <w:tc>
          <w:tcPr>
            <w:tcW w:w="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Revenue</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Change 2026</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 Change 2026</w:t>
            </w: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Acquisitions</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Divestitures</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FX</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Change Adj.</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Change Adj.</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w w:val="99"/>
              </w:rPr>
              <w:t>v. 2025</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v. 2025</w:t>
            </w:r>
          </w:p>
        </w:tc>
        <w:tc>
          <w:tcPr>
            <w:tcW w:w="118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Impact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2026 v. 2025</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2026 v. 2025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6"/>
                <w:szCs w:val="16"/>
                <w:color w:val="auto"/>
              </w:rPr>
            </w:pPr>
          </w:p>
        </w:tc>
        <w:tc>
          <w:tcPr>
            <w:tcW w:w="8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8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4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Xylem Inc.</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6,662</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6,638</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Water Infrastructure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10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1,887</w:t>
            </w:r>
          </w:p>
        </w:tc>
        <w:tc>
          <w:tcPr>
            <w:tcW w:w="12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Applied Water</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20" w:type="dxa"/>
            <w:vAlign w:val="bottom"/>
            <w:gridSpan w:val="7"/>
          </w:tcPr>
          <w:p>
            <w:pPr>
              <w:spacing w:after="0" w:line="153" w:lineRule="exact"/>
              <w:rPr>
                <w:sz w:val="20"/>
                <w:szCs w:val="20"/>
                <w:color w:val="auto"/>
              </w:rPr>
            </w:pPr>
            <w:r>
              <w:rPr>
                <w:rFonts w:ascii="Times New Roman" w:cs="Times New Roman" w:eastAsia="Times New Roman" w:hAnsi="Times New Roman"/>
                <w:sz w:val="14"/>
                <w:szCs w:val="14"/>
                <w:color w:val="auto"/>
              </w:rPr>
              <w:t>Measurement and Control</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100" w:type="dxa"/>
            <w:vAlign w:val="bottom"/>
          </w:tcPr>
          <w:p>
            <w:pPr>
              <w:spacing w:after="0"/>
              <w:rPr>
                <w:sz w:val="13"/>
                <w:szCs w:val="13"/>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120" w:type="dxa"/>
            <w:vAlign w:val="bottom"/>
          </w:tcPr>
          <w:p>
            <w:pPr>
              <w:spacing w:after="0"/>
              <w:rPr>
                <w:sz w:val="13"/>
                <w:szCs w:val="13"/>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Solutions</w:t>
            </w: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Water Solutions and Services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Quarter Ended September</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30</w:t>
            </w:r>
          </w:p>
        </w:tc>
        <w:tc>
          <w:tcPr>
            <w:tcW w:w="4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Xylem Inc.</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Water Infrastructure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2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Applied Water</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20" w:type="dxa"/>
            <w:vAlign w:val="bottom"/>
            <w:gridSpan w:val="7"/>
          </w:tcPr>
          <w:p>
            <w:pPr>
              <w:spacing w:after="0" w:line="153" w:lineRule="exact"/>
              <w:rPr>
                <w:sz w:val="20"/>
                <w:szCs w:val="20"/>
                <w:color w:val="auto"/>
              </w:rPr>
            </w:pPr>
            <w:r>
              <w:rPr>
                <w:rFonts w:ascii="Times New Roman" w:cs="Times New Roman" w:eastAsia="Times New Roman" w:hAnsi="Times New Roman"/>
                <w:sz w:val="14"/>
                <w:szCs w:val="14"/>
                <w:color w:val="auto"/>
              </w:rPr>
              <w:t>Measurement and Control</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tcPr>
          <w:p>
            <w:pPr>
              <w:spacing w:after="0"/>
              <w:rPr>
                <w:sz w:val="13"/>
                <w:szCs w:val="13"/>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20" w:type="dxa"/>
            <w:vAlign w:val="bottom"/>
          </w:tcPr>
          <w:p>
            <w:pPr>
              <w:spacing w:after="0"/>
              <w:rPr>
                <w:sz w:val="13"/>
                <w:szCs w:val="13"/>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Solutions</w:t>
            </w: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Water Solutions and Services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Xylem Inc.</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Water Infrastructure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2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Applied Water</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20" w:type="dxa"/>
            <w:vAlign w:val="bottom"/>
            <w:gridSpan w:val="7"/>
          </w:tcPr>
          <w:p>
            <w:pPr>
              <w:spacing w:after="0" w:line="153" w:lineRule="exact"/>
              <w:rPr>
                <w:sz w:val="20"/>
                <w:szCs w:val="20"/>
                <w:color w:val="auto"/>
              </w:rPr>
            </w:pPr>
            <w:r>
              <w:rPr>
                <w:rFonts w:ascii="Times New Roman" w:cs="Times New Roman" w:eastAsia="Times New Roman" w:hAnsi="Times New Roman"/>
                <w:sz w:val="14"/>
                <w:szCs w:val="14"/>
                <w:color w:val="auto"/>
              </w:rPr>
              <w:t>Measurement and Control</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Pr>
          <w:p>
            <w:pPr>
              <w:spacing w:after="0"/>
              <w:rPr>
                <w:sz w:val="13"/>
                <w:szCs w:val="13"/>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20" w:type="dxa"/>
            <w:vAlign w:val="bottom"/>
          </w:tcPr>
          <w:p>
            <w:pPr>
              <w:spacing w:after="0"/>
              <w:rPr>
                <w:sz w:val="13"/>
                <w:szCs w:val="13"/>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3"/>
                <w:szCs w:val="13"/>
                <w:color w:val="auto"/>
              </w:rPr>
            </w:pPr>
          </w:p>
        </w:tc>
        <w:tc>
          <w:tcPr>
            <w:tcW w:w="11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Solutions</w:t>
            </w: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Water Solutions and Services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Xylem Inc.</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Water Infrastructure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2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Applied Water</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20" w:type="dxa"/>
            <w:vAlign w:val="bottom"/>
            <w:gridSpan w:val="7"/>
          </w:tcPr>
          <w:p>
            <w:pPr>
              <w:spacing w:after="0" w:line="153" w:lineRule="exact"/>
              <w:rPr>
                <w:sz w:val="20"/>
                <w:szCs w:val="20"/>
                <w:color w:val="auto"/>
              </w:rPr>
            </w:pPr>
            <w:r>
              <w:rPr>
                <w:rFonts w:ascii="Times New Roman" w:cs="Times New Roman" w:eastAsia="Times New Roman" w:hAnsi="Times New Roman"/>
                <w:sz w:val="14"/>
                <w:szCs w:val="14"/>
                <w:color w:val="auto"/>
              </w:rPr>
              <w:t>Measurement and Control</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Pr>
          <w:p>
            <w:pPr>
              <w:spacing w:after="0"/>
              <w:rPr>
                <w:sz w:val="13"/>
                <w:szCs w:val="13"/>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20" w:type="dxa"/>
            <w:vAlign w:val="bottom"/>
          </w:tcPr>
          <w:p>
            <w:pPr>
              <w:spacing w:after="0"/>
              <w:rPr>
                <w:sz w:val="13"/>
                <w:szCs w:val="13"/>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3"/>
                <w:szCs w:val="13"/>
                <w:color w:val="auto"/>
              </w:rPr>
            </w:pPr>
          </w:p>
        </w:tc>
        <w:tc>
          <w:tcPr>
            <w:tcW w:w="11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Solutions</w:t>
            </w: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8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Water Solutions and Services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3"/>
        </w:trPr>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9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Xylem Inc. Non-GAAP Reconciliation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Adjusted Diluted EPS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Millions, except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Q3 2026</w:t>
            </w: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As Reported</w:t>
            </w:r>
          </w:p>
        </w:tc>
        <w:tc>
          <w:tcPr>
            <w:tcW w:w="120" w:type="dxa"/>
            <w:vAlign w:val="bottom"/>
          </w:tcPr>
          <w:p>
            <w:pPr>
              <w:spacing w:after="0"/>
              <w:rPr>
                <w:sz w:val="17"/>
                <w:szCs w:val="17"/>
                <w:color w:val="auto"/>
              </w:rPr>
            </w:pPr>
          </w:p>
        </w:tc>
        <w:tc>
          <w:tcPr>
            <w:tcW w:w="1100" w:type="dxa"/>
            <w:vAlign w:val="bottom"/>
            <w:gridSpan w:val="3"/>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Adjusted</w:t>
            </w:r>
          </w:p>
        </w:tc>
        <w:tc>
          <w:tcPr>
            <w:tcW w:w="160" w:type="dxa"/>
            <w:vAlign w:val="bottom"/>
          </w:tcPr>
          <w:p>
            <w:pPr>
              <w:spacing w:after="0"/>
              <w:rPr>
                <w:sz w:val="17"/>
                <w:szCs w:val="17"/>
                <w:color w:val="auto"/>
              </w:rPr>
            </w:pPr>
          </w:p>
        </w:tc>
        <w:tc>
          <w:tcPr>
            <w:tcW w:w="1260" w:type="dxa"/>
            <w:vAlign w:val="bottom"/>
            <w:gridSpan w:val="4"/>
          </w:tcPr>
          <w:p>
            <w:pPr>
              <w:ind w:left="60"/>
              <w:spacing w:after="0" w:line="196" w:lineRule="exact"/>
              <w:rPr>
                <w:sz w:val="20"/>
                <w:szCs w:val="20"/>
                <w:color w:val="auto"/>
              </w:rPr>
            </w:pPr>
            <w:r>
              <w:rPr>
                <w:rFonts w:ascii="Times New Roman" w:cs="Times New Roman" w:eastAsia="Times New Roman" w:hAnsi="Times New Roman"/>
                <w:sz w:val="18"/>
                <w:szCs w:val="18"/>
                <w:color w:val="auto"/>
              </w:rPr>
              <w:t>As Reported</w:t>
            </w:r>
          </w:p>
        </w:tc>
        <w:tc>
          <w:tcPr>
            <w:tcW w:w="140" w:type="dxa"/>
            <w:vAlign w:val="bottom"/>
          </w:tcPr>
          <w:p>
            <w:pPr>
              <w:spacing w:after="0"/>
              <w:rPr>
                <w:sz w:val="17"/>
                <w:szCs w:val="17"/>
                <w:color w:val="auto"/>
              </w:rPr>
            </w:pPr>
          </w:p>
        </w:tc>
        <w:tc>
          <w:tcPr>
            <w:tcW w:w="1080" w:type="dxa"/>
            <w:vAlign w:val="bottom"/>
            <w:gridSpan w:val="3"/>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w w:val="98"/>
              </w:rPr>
              <w:t>Adjustments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w w:val="95"/>
              </w:rPr>
              <w:t>Adjusted</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2,268</w:t>
            </w:r>
          </w:p>
        </w:tc>
        <w:tc>
          <w:tcPr>
            <w:tcW w:w="0" w:type="dxa"/>
            <w:vAlign w:val="bottom"/>
          </w:tcPr>
          <w:p>
            <w:pPr>
              <w:spacing w:after="0"/>
              <w:rPr>
                <w:sz w:val="1"/>
                <w:szCs w:val="1"/>
                <w:color w:val="auto"/>
              </w:rPr>
            </w:pPr>
          </w:p>
        </w:tc>
      </w:tr>
      <w:tr>
        <w:trPr>
          <w:trHeight w:val="227"/>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43</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83"/>
              </w:rPr>
              <w:t>a</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95</w:t>
            </w: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a</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23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17.5 %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19.4 %</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14.7 %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18.9 %</w:t>
            </w:r>
          </w:p>
        </w:tc>
        <w:tc>
          <w:tcPr>
            <w:tcW w:w="0" w:type="dxa"/>
            <w:vAlign w:val="bottom"/>
          </w:tcPr>
          <w:p>
            <w:pPr>
              <w:spacing w:after="0"/>
              <w:rPr>
                <w:sz w:val="1"/>
                <w:szCs w:val="1"/>
                <w:color w:val="auto"/>
              </w:rPr>
            </w:pPr>
          </w:p>
        </w:tc>
      </w:tr>
      <w:tr>
        <w:trPr>
          <w:trHeight w:val="227"/>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Non-Operating Income (Expense)</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7"/>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Gain/(Loss) from Sale of Business</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b</w:t>
            </w: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37</w:t>
            </w: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b</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w:t>
            </w:r>
          </w:p>
        </w:tc>
        <w:tc>
          <w:tcPr>
            <w:tcW w:w="3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413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132</w:t>
            </w:r>
          </w:p>
        </w:tc>
        <w:tc>
          <w:tcPr>
            <w:tcW w:w="3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227"/>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5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83"/>
              </w:rPr>
              <w:t>c</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c</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106</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ind w:left="20"/>
              <w:spacing w:after="0" w:line="165" w:lineRule="exact"/>
              <w:rPr>
                <w:sz w:val="20"/>
                <w:szCs w:val="20"/>
                <w:color w:val="auto"/>
              </w:rPr>
            </w:pPr>
            <w:r>
              <w:rPr>
                <w:rFonts w:ascii="Times New Roman" w:cs="Times New Roman" w:eastAsia="Times New Roman" w:hAnsi="Times New Roman"/>
                <w:sz w:val="16"/>
                <w:szCs w:val="16"/>
                <w:color w:val="auto"/>
              </w:rPr>
              <w:t>Net Loss Attributable to Non-controlling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0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Xylem</w:t>
            </w: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336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106</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Diluted Shares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6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233.0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244.1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244.1</w:t>
            </w: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0.19</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0.93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0.44</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260" w:hanging="254"/>
        <w:spacing w:after="0"/>
        <w:tabs>
          <w:tab w:leader="none" w:pos="2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Quarter-to-date:</w:t>
      </w:r>
    </w:p>
    <w:p>
      <w:pPr>
        <w:ind w:left="260"/>
        <w:spacing w:after="0" w:line="21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Restructuring &amp; realignment costs: 2026 - $14 million and 2025 - $31 million Special Charges: 2026 - $10 million of acquisition, divestiture &amp; integration costs, offset</w:t>
      </w:r>
    </w:p>
    <w:p>
      <w:pPr>
        <w:ind w:left="260" w:right="480"/>
        <w:spacing w:after="0" w:line="23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$33 million of IEEPA tariff refunds; 2025 - $9 million of acquisition, divestiture &amp; integration costs Purchases accounting intangible amortization: 2026 - $52 million and 2025 - $55 million</w:t>
      </w:r>
    </w:p>
    <w:p>
      <w:pPr>
        <w:spacing w:after="0" w:line="19" w:lineRule="exact"/>
        <w:rPr>
          <w:sz w:val="20"/>
          <w:szCs w:val="20"/>
          <w:color w:val="auto"/>
        </w:rPr>
      </w:pPr>
    </w:p>
    <w:p>
      <w:pPr>
        <w:ind w:left="260" w:hanging="254"/>
        <w:spacing w:after="0"/>
        <w:tabs>
          <w:tab w:leader="none" w:pos="2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Gain/(Loss) from sale of businesses as per income statement for all periods presented</w:t>
      </w:r>
    </w:p>
    <w:p>
      <w:pPr>
        <w:spacing w:after="0" w:line="42"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Quarter-to-date:</w:t>
      </w:r>
    </w:p>
    <w:p>
      <w:pPr>
        <w:ind w:left="260" w:right="340"/>
        <w:spacing w:after="0" w:line="23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2026 - Net tax impact on pre-tax adjustments (notes a and b) of $8 million, offset by $5 million of other tax special expense items; 2025 - Net tax impact on pre-tax adjustments (notes a and b) of $27 million, offset by $1 million of other tax special expense items;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40" w:top="891"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Xylem Inc. Non-GAAP Reconciliation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EBITDA and Adjusted EBITDA by Quarter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3"/>
        </w:trPr>
        <w:tc>
          <w:tcPr>
            <w:tcW w:w="4440" w:type="dxa"/>
            <w:vAlign w:val="bottom"/>
          </w:tcPr>
          <w:p>
            <w:pPr>
              <w:spacing w:after="0"/>
              <w:rPr>
                <w:sz w:val="21"/>
                <w:szCs w:val="21"/>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Q1</w:t>
            </w:r>
          </w:p>
        </w:tc>
        <w:tc>
          <w:tcPr>
            <w:tcW w:w="13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Q2</w:t>
            </w:r>
          </w:p>
        </w:tc>
        <w:tc>
          <w:tcPr>
            <w:tcW w:w="13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Q3</w:t>
            </w:r>
          </w:p>
        </w:tc>
        <w:tc>
          <w:tcPr>
            <w:tcW w:w="13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Q4</w:t>
            </w: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r>
      <w:tr>
        <w:trPr>
          <w:trHeight w:val="237"/>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Xylem</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747</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80" w:type="dxa"/>
            <w:vAlign w:val="bottom"/>
          </w:tcPr>
          <w:p>
            <w:pPr>
              <w:spacing w:after="0"/>
              <w:rPr>
                <w:sz w:val="21"/>
                <w:szCs w:val="21"/>
                <w:color w:val="auto"/>
              </w:rPr>
            </w:pP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4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195</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222</w:t>
            </w:r>
          </w:p>
        </w:tc>
      </w:tr>
      <w:tr>
        <w:trPr>
          <w:trHeight w:val="24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235</w:t>
            </w:r>
          </w:p>
        </w:tc>
      </w:tr>
      <w:tr>
        <w:trPr>
          <w:trHeight w:val="23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1,412</w:t>
            </w:r>
          </w:p>
        </w:tc>
      </w:tr>
      <w:tr>
        <w:trPr>
          <w:trHeight w:val="237"/>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EBITDA Margin</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21.2 %</w:t>
            </w:r>
          </w:p>
        </w:tc>
      </w:tr>
      <w:tr>
        <w:trPr>
          <w:trHeight w:val="23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&amp; Realignment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Charges</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Loss/(Gain) from sale of businesses</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r>
      <w:tr>
        <w:trPr>
          <w:trHeight w:val="237"/>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Pr>
          <w:p>
            <w:pPr>
              <w:spacing w:after="0"/>
              <w:rPr>
                <w:sz w:val="20"/>
                <w:szCs w:val="20"/>
                <w:color w:val="auto"/>
              </w:rPr>
            </w:pPr>
          </w:p>
        </w:tc>
        <w:tc>
          <w:tcPr>
            <w:tcW w:w="13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1,508</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2,125</w:t>
            </w:r>
          </w:p>
        </w:tc>
        <w:tc>
          <w:tcPr>
            <w:tcW w:w="80" w:type="dxa"/>
            <w:vAlign w:val="bottom"/>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2,336</w:t>
            </w:r>
          </w:p>
        </w:tc>
        <w:tc>
          <w:tcPr>
            <w:tcW w:w="80" w:type="dxa"/>
            <w:vAlign w:val="bottom"/>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2,201</w:t>
            </w:r>
          </w:p>
        </w:tc>
        <w:tc>
          <w:tcPr>
            <w:tcW w:w="80" w:type="dxa"/>
            <w:vAlign w:val="bottom"/>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6,662</w:t>
            </w:r>
          </w:p>
        </w:tc>
      </w:tr>
      <w:tr>
        <w:trPr>
          <w:trHeight w:val="237"/>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8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8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80" w:type="dxa"/>
            <w:vAlign w:val="bottom"/>
          </w:tcPr>
          <w:p>
            <w:pPr>
              <w:spacing w:after="0"/>
              <w:rPr>
                <w:sz w:val="20"/>
                <w:szCs w:val="20"/>
                <w:color w:val="auto"/>
              </w:rPr>
            </w:pPr>
          </w:p>
        </w:tc>
        <w:tc>
          <w:tcPr>
            <w:tcW w:w="12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22.6 %</w:t>
            </w: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3"/>
        </w:trPr>
        <w:tc>
          <w:tcPr>
            <w:tcW w:w="4440" w:type="dxa"/>
            <w:vAlign w:val="bottom"/>
          </w:tcPr>
          <w:p>
            <w:pPr>
              <w:spacing w:after="0"/>
              <w:rPr>
                <w:sz w:val="21"/>
                <w:szCs w:val="21"/>
                <w:color w:val="auto"/>
              </w:rPr>
            </w:pPr>
          </w:p>
        </w:tc>
        <w:tc>
          <w:tcPr>
            <w:tcW w:w="13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Q1</w:t>
            </w:r>
          </w:p>
        </w:tc>
        <w:tc>
          <w:tcPr>
            <w:tcW w:w="13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Q2</w:t>
            </w:r>
          </w:p>
        </w:tc>
        <w:tc>
          <w:tcPr>
            <w:tcW w:w="13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Q3</w:t>
            </w:r>
          </w:p>
        </w:tc>
        <w:tc>
          <w:tcPr>
            <w:tcW w:w="13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Q4</w:t>
            </w: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r>
      <w:tr>
        <w:trPr>
          <w:trHeight w:val="237"/>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Xylem</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957</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r>
      <w:tr>
        <w:trPr>
          <w:trHeight w:val="24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267</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308</w:t>
            </w:r>
          </w:p>
        </w:tc>
      </w:tr>
      <w:tr>
        <w:trPr>
          <w:trHeight w:val="24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231</w:t>
            </w:r>
          </w:p>
        </w:tc>
      </w:tr>
      <w:tr>
        <w:trPr>
          <w:trHeight w:val="23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1,765</w:t>
            </w:r>
          </w:p>
        </w:tc>
      </w:tr>
      <w:tr>
        <w:trPr>
          <w:trHeight w:val="237"/>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EBITDA Margin</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19.5 %</w:t>
            </w:r>
          </w:p>
        </w:tc>
      </w:tr>
      <w:tr>
        <w:trPr>
          <w:trHeight w:val="23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&amp; Realignment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131</w:t>
            </w:r>
          </w:p>
        </w:tc>
      </w:tr>
      <w:tr>
        <w:trPr>
          <w:trHeight w:val="24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Charges</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Loss/(Gain) from sale of businesses</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r>
      <w:tr>
        <w:trPr>
          <w:trHeight w:val="23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Pr>
          <w:p>
            <w:pPr>
              <w:spacing w:after="0"/>
              <w:rPr>
                <w:sz w:val="20"/>
                <w:szCs w:val="20"/>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Pr>
          <w:p>
            <w:pPr>
              <w:spacing w:after="0"/>
              <w:rPr>
                <w:sz w:val="20"/>
                <w:szCs w:val="20"/>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2,009</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2,069</w:t>
            </w:r>
          </w:p>
        </w:tc>
        <w:tc>
          <w:tcPr>
            <w:tcW w:w="80" w:type="dxa"/>
            <w:vAlign w:val="bottom"/>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2,301</w:t>
            </w:r>
          </w:p>
        </w:tc>
        <w:tc>
          <w:tcPr>
            <w:tcW w:w="80" w:type="dxa"/>
            <w:vAlign w:val="bottom"/>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2,268</w:t>
            </w:r>
          </w:p>
        </w:tc>
        <w:tc>
          <w:tcPr>
            <w:tcW w:w="80" w:type="dxa"/>
            <w:vAlign w:val="bottom"/>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9,035</w:t>
            </w:r>
          </w:p>
        </w:tc>
      </w:tr>
      <w:tr>
        <w:trPr>
          <w:trHeight w:val="237"/>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8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8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8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22.2 %</w:t>
            </w:r>
          </w:p>
        </w:tc>
      </w:tr>
      <w:tr>
        <w:trPr>
          <w:trHeight w:val="857"/>
        </w:trPr>
        <w:tc>
          <w:tcPr>
            <w:tcW w:w="44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00"/>
      </w:cols>
      <w:pgMar w:left="340" w:top="8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a"/>
      <w:numFmt w:val="bullet"/>
      <w:start w:val="1"/>
    </w:lvl>
  </w:abstractNum>
  <w:abstractNum w:abstractNumId="4">
    <w:nsid w:val="3D1B58BA"/>
    <w:multiLevelType w:val="hybridMultilevel"/>
    <w:lvl w:ilvl="0">
      <w:lvlJc w:val="left"/>
      <w:lvlText w:val="b"/>
      <w:numFmt w:val="bullet"/>
      <w:start w:val="1"/>
    </w:lvl>
  </w:abstractNum>
  <w:abstractNum w:abstractNumId="5">
    <w:nsid w:val="507ED7AB"/>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2026-10-27T07:10:40Z</dcterms:created>
  <dcterms:modified xsi:type="dcterms:W3CDTF">2026-10-27T07:10:40Z</dcterms:modified>
</cp:coreProperties>
</file>