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XYLEM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50"/>
        <w:gridCol w:w="656"/>
        <w:gridCol w:w="663"/>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45-2080495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179" w:type="dxa"/>
        <w:jc w:val="center"/>
        <w:tblInd w:w="0" w:type="dxa"/>
        <w:tblLayout w:type="fixed"/>
        <w:tblCellMar>
          <w:top w:w="28" w:type="dxa"/>
          <w:left w:w="28" w:type="dxa"/>
          <w:bottom w:w="28" w:type="dxa"/>
          <w:right w:w="28" w:type="dxa"/>
        </w:tblCellMar>
      </w:tblPr>
      <w:tblGrid>
        <w:gridCol w:w="513"/>
        <w:gridCol w:w="451"/>
        <w:gridCol w:w="453"/>
        <w:gridCol w:w="251"/>
        <w:gridCol w:w="251"/>
        <w:gridCol w:w="251"/>
        <w:gridCol w:w="251"/>
        <w:gridCol w:w="251"/>
        <w:gridCol w:w="251"/>
        <w:gridCol w:w="109"/>
        <w:gridCol w:w="109"/>
        <w:gridCol w:w="109"/>
        <w:gridCol w:w="272"/>
        <w:gridCol w:w="272"/>
        <w:gridCol w:w="385"/>
      </w:tblGrid>
      <w:tr>
        <w:trPr/>
        <w:tc>
          <w:tcPr>
            <w:tcW w:w="5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 Water Street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20003</w:t>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Washington</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(202) 869-9150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Name of each exchange of which registered </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XYL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2696" w:type="dxa"/>
        <w:jc w:val="left"/>
        <w:tblInd w:w="0" w:type="dxa"/>
        <w:tblLayout w:type="fixed"/>
        <w:tblCellMar>
          <w:top w:w="28" w:type="dxa"/>
          <w:left w:w="28" w:type="dxa"/>
          <w:bottom w:w="28" w:type="dxa"/>
          <w:right w:w="28" w:type="dxa"/>
        </w:tblCellMar>
      </w:tblPr>
      <w:tblGrid>
        <w:gridCol w:w="124"/>
        <w:gridCol w:w="109"/>
        <w:gridCol w:w="109"/>
        <w:gridCol w:w="689"/>
        <w:gridCol w:w="689"/>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9610"/>
                <wp:effectExtent l="0" t="0" r="0" b="0"/>
                <wp:wrapNone/>
                <wp:docPr id="1" name="Frame1"/>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2174" w:type="dxa"/>
        <w:jc w:val="left"/>
        <w:tblInd w:w="0" w:type="dxa"/>
        <w:tblLayout w:type="fixed"/>
        <w:tblCellMar>
          <w:top w:w="28" w:type="dxa"/>
          <w:left w:w="28" w:type="dxa"/>
          <w:bottom w:w="28" w:type="dxa"/>
          <w:right w:w="28" w:type="dxa"/>
        </w:tblCellMar>
      </w:tblPr>
      <w:tblGrid>
        <w:gridCol w:w="331"/>
        <w:gridCol w:w="290"/>
        <w:gridCol w:w="293"/>
        <w:gridCol w:w="369"/>
        <w:gridCol w:w="369"/>
        <w:gridCol w:w="52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29, 2026, Xylem Inc. (the “Company”) completed a public offering (the “Offering”) of $500,000,000 aggregate principal amount of 5.250% Senior Notes due 2029 (the “2029 Notes”), $500,000,000 aggregate principal amount of 5.450% Senior Notes due 2032 (the “2032 Notes”) and $500,000,000 aggregate principal amount of 5.850% Senior Notes due 2037 (the “2037 Notes” and, together with the 2029 Notes and the 2032 Notes, the “Notes”). The Notes are governed by a senior indenture, dated March 11, 2016 (the “Base Indenture”), as supplemented by the first supplemental indenture, dated March 11, 2016 (the “First Supplemental Indenture”), and as further supplemented by the sixth supplemental indenture, dated September 29, 2026 (the “Sixth Supplemental Indenture”), each between Deutsche Bank Trust Company Americas, as trustee (the “Trustee”), and the Company (as so supplemented, the “Indenture”).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intends to use the net proceeds from the sale of the Notes, together with cash on hand, to finance all or a portion of the purchase price payable for the previously announced acquisition of the Cornell Pump and Roper Pump businesses (the “Acquisition”), to pay associated costs and expenses and for general corporate purposes.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Notes are senior unsecured obligations of the Company and rank equally in right of payment with all of the Company’s other unsecured and unsubordinated obligations from time to time outstanding. The 2029 Notes will bear interest at the rate of 5.250% per year and will mature on September 28, 2029. The 2032 Notes will bear interest at the rate of 5.450% per year and will mature on January 15, 2032. The 2037 Notes will bear interest at the rate of 5.850% per year and will mature on January 15, 2037. Interest on the 2029 Notes will be payable semiannually on March 28 and September 28 of each year beginning on March 28, 2027. Interest on the 2032 Notes and the 2037 Notes will be payable semiannually on January 15 and July 15 of each year beginning on January 15,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(i) the Company does not consummate the Acquisition on or prior to the later of (x) August 10, 2027 and (y) such later date to which the termination date under the equity purchase agreement as in effect on the closing date of the Offering may be amended in accordance with the terms thereof (such later date, the “Special Mandatory Redemption End Date”), (ii) on or prior to the Special Mandatory Redemption End Date, the equity purchase agreement is terminated or (iii) the Company otherwise notifies the Trustee in writing that it will not pursue the consummation of the Acquisition, then the Company will be required to redeem all of the Notes of each series at a redemption price equal to 101% of the aggregate principal amount of such Notes, plus accrued and unpaid interest thereon, if any, to, but excluding, the special mandatory redemption date. The Company may also redeem the Notes at any time, at its option, subject to certain conditions, at specified redemption prices, plus accrued and unpaid interest to the redemption date.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Indenture contains customary agreements and covenants by the Company. These covenants limit the ability of the Company and its restricted subsidiaries (i) to incur debt secured by liens on certain property above a threshold, (ii) to engage in certain sale and leaseback transactions involving certain property above a threshold, and (iii) to consolidate or merge, or convey or transfer all or substantially all of their assets. If the Company experiences certain changes of control accompanied or followed by rating downgrades during a specified period, the Company will be required to make an offer to repurchase the Notes at a purchase price equal to 101% of the aggregate principal amount of such Notes, plus accrued and unpaid interest to, but not including, the repurchase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Indenture does not purport to be complete and is qualified in its entirety by reference to the full text of the Base Indenture and the First Supplemental Indenture, which were filed as Exhibits 4.1 and 4.2, respectively, to the Company’s Current Report on Form 8-K filed with the Securities and Exchange Commission on March 11, 2016, and to the full text of the Sixth Supplemental Indenture, which is filed as Exhibit 4.1 hereto. Each of the foregoing documents is incorporated by reference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Notes were offered and sold pursuant to a registration statement on Form S-3 (File No. 333-297937), including a base prospectus (the “Registration Statement”) dated August 3, 2026, as supplemented by a preliminary prospectus supplement dated September 15, 2026, and a final prospectus supplement dated September 15,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Notes were issued pursuant to an underwriting agreement, dated September 15, 2026 (the “Underwriting Agreement”), among the Company and Citigroup Global Markets Inc., ING Financial Markets LLC, J.P. Morgan Securities LLC, BNP Paribas Securities Corp. and Wells Fargo Securities, LLC, as representatives of the several underwriters named therein. The full text of the Underwriting Agreement is filed as Exhibit 1.1 hereto and incorporated by reference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Offering, the Company is filing as Exhibits 5.1 and 5.2 hereto opinions of counsel addressing the validity and enforceability of the Notes. Such opinions are incorporated by reference into the Registration Statement.</w:t>
      </w:r>
    </w:p>
    <w:p>
      <w:pPr>
        <w:pStyle w:val="TextBody"/>
        <w:bidi w:val="0"/>
        <w:spacing w:before="12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2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36"/>
        <w:gridCol w:w="295"/>
        <w:gridCol w:w="207"/>
        <w:gridCol w:w="2752"/>
        <w:gridCol w:w="2723"/>
        <w:gridCol w:w="3892"/>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16"/>
              </w:rPr>
              <w:t>No.</w:t>
            </w:r>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11-underwritingagreement.htm">
              <w:r>
                <w:rPr>
                  <w:rStyle w:val="InternetLink"/>
                  <w:rFonts w:ascii="Times New Roman;serif" w:hAnsi="Times New Roman;serif"/>
                  <w:b w:val="false"/>
                  <w:color w:val="0000FF"/>
                  <w:sz w:val="20"/>
                  <w:u w:val="single"/>
                </w:rPr>
                <w:t>1.1</w:t>
              </w:r>
            </w:hyperlink>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Agreement, dated September 15, 2026, among Xylem Inc. and Citigroup Global Markets Inc., ING Financial Markets LLC, J.P. Morgan Securities LLC, BNP Paribas Securities Corp. and Wells Fargo Securities, LLC.</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41-supplementalindenture.htm">
              <w:r>
                <w:rPr>
                  <w:rStyle w:val="InternetLink"/>
                  <w:rFonts w:ascii="Times New Roman;serif" w:hAnsi="Times New Roman;serif"/>
                  <w:b w:val="false"/>
                  <w:color w:val="0000FF"/>
                  <w:sz w:val="20"/>
                  <w:u w:val="single"/>
                </w:rPr>
                <w:t>4.1</w:t>
              </w:r>
            </w:hyperlink>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Supplemental Indenture, dated September 29, 2026, by and between the Company and Deutsche Bank Trust Company Americas, as trustee (including the form of 5.250% Senior Notes due 2029, the form of 5.450% Senior Notes due 2032 and the form of 5.850% Senior Notes due 2037).</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51-gdcopinion.htm">
              <w:r>
                <w:rPr>
                  <w:rStyle w:val="InternetLink"/>
                  <w:rFonts w:ascii="Times New Roman;serif" w:hAnsi="Times New Roman;serif"/>
                  <w:b w:val="false"/>
                  <w:color w:val="0000FF"/>
                  <w:sz w:val="20"/>
                  <w:u w:val="single"/>
                </w:rPr>
                <w:t>5.1</w:t>
              </w:r>
            </w:hyperlink>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Gibson, Dunn &amp; Crutcher LLP.</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52-btopinion.htm">
              <w:r>
                <w:rPr>
                  <w:rStyle w:val="InternetLink"/>
                  <w:rFonts w:ascii="Times New Roman;serif" w:hAnsi="Times New Roman;serif"/>
                  <w:b w:val="false"/>
                  <w:color w:val="0000FF"/>
                  <w:sz w:val="20"/>
                  <w:u w:val="single"/>
                </w:rPr>
                <w:t>5.2</w:t>
              </w:r>
            </w:hyperlink>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Barnes &amp; Thornburg LLP.</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51-gdcopinion.htm">
              <w:r>
                <w:rPr>
                  <w:rStyle w:val="InternetLink"/>
                  <w:rFonts w:ascii="Times New Roman;serif" w:hAnsi="Times New Roman;serif"/>
                  <w:b w:val="false"/>
                  <w:color w:val="0000FF"/>
                  <w:sz w:val="20"/>
                  <w:u w:val="single"/>
                </w:rPr>
                <w:t>23.1</w:t>
              </w:r>
            </w:hyperlink>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Gibson, Dunn &amp; Crutcher LLP (included in Exhibit 5.1).</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52-btopinion.htm">
              <w:r>
                <w:rPr>
                  <w:rStyle w:val="InternetLink"/>
                  <w:rFonts w:ascii="Times New Roman;serif" w:hAnsi="Times New Roman;serif"/>
                  <w:b w:val="false"/>
                  <w:color w:val="0000FF"/>
                  <w:sz w:val="20"/>
                  <w:u w:val="single"/>
                </w:rPr>
                <w:t>23.2</w:t>
              </w:r>
            </w:hyperlink>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Barnes &amp; Thornburg LLP (included in Exhibit 5.2).</w:t>
            </w:r>
          </w:p>
        </w:tc>
      </w:tr>
      <w:tr>
        <w:trPr/>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Xylem Inc.'s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664"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138"/>
        <w:gridCol w:w="138"/>
        <w:gridCol w:w="138"/>
        <w:gridCol w:w="138"/>
        <w:gridCol w:w="138"/>
        <w:gridCol w:w="138"/>
        <w:gridCol w:w="1252"/>
        <w:gridCol w:w="1252"/>
        <w:gridCol w:w="178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XYLEM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Andrea van der Berg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Andrea van der Berg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Xylem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$500,000,000 5.250% Senior Notes due 2029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$500,000,000 5.450% Senior Notes due 2032</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$500,000,000 5.850% Senior Notes due 2037</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480"/>
        <w:jc w:val="center"/>
        <w:rPr>
          <w:rFonts w:ascii="Arial;sans-serif" w:hAnsi="Arial;sans-serif"/>
          <w:b w:val="false"/>
          <w:color w:val="000000"/>
          <w:sz w:val="24"/>
          <w:u w:val="single"/>
        </w:rPr>
      </w:pPr>
      <w:r>
        <w:rPr>
          <w:rFonts w:ascii="Arial;sans-serif" w:hAnsi="Arial;sans-serif"/>
          <w:b w:val="false"/>
          <w:color w:val="000000"/>
          <w:sz w:val="24"/>
          <w:u w:val="single"/>
        </w:rPr>
        <w:t>Underwriting Agreement</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4"/>
        </w:rPr>
        <w:t>September 15,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Citigroup Global Markets Inc.</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388 Greenwich Street</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New York, New York 10013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ING Financial Markets LLC</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1133 Avenue of the Americas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New York, New York 10036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J.P. Morgan Securities LLC</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270 Park Avenue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New York, New York 10017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BNP Paribas Securities Corp.</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787 Seventh Avenue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New York, New York 10019</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Wells Fargo Securities, LLC</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550 South Tryon Street, 5th Floor</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Charlotte, North Carolina 28202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As Representatives of the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several Underwriters listed</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 Schedule 1 hereto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Ladies and Gentlemen:</w:t>
      </w:r>
    </w:p>
    <w:p>
      <w:pPr>
        <w:pStyle w:val="TextBody"/>
        <w:bidi w:val="0"/>
        <w:spacing w:before="0" w:after="0"/>
        <w:jc w:val="left"/>
        <w:rPr/>
      </w:pPr>
      <w:r>
        <w:rPr/>
      </w:r>
    </w:p>
    <w:p>
      <w:pPr>
        <w:pStyle w:val="TextBody"/>
        <w:bidi w:val="0"/>
        <w:spacing w:lineRule="auto" w:line="288" w:before="0" w:after="240"/>
        <w:jc w:val="left"/>
        <w:rPr/>
      </w:pPr>
      <w:r>
        <w:rPr>
          <w:color w:val="000000"/>
        </w:rPr>
        <w:t>    </w:t>
      </w:r>
      <w:r>
        <w:rPr>
          <w:rFonts w:ascii="Arial;sans-serif" w:hAnsi="Arial;sans-serif"/>
          <w:b w:val="false"/>
          <w:color w:val="000000"/>
          <w:sz w:val="24"/>
        </w:rPr>
        <w:t>Xylem Inc., an Indiana corporation (the “</w:t>
      </w:r>
      <w:r>
        <w:rPr>
          <w:rFonts w:ascii="Arial;sans-serif" w:hAnsi="Arial;sans-serif"/>
          <w:b/>
          <w:color w:val="000000"/>
          <w:sz w:val="24"/>
        </w:rPr>
        <w:t>Company</w:t>
      </w:r>
      <w:r>
        <w:rPr>
          <w:color w:val="000000"/>
        </w:rPr>
        <w:t>”</w:t>
      </w:r>
      <w:r>
        <w:rPr>
          <w:rFonts w:ascii="Arial;sans-serif" w:hAnsi="Arial;sans-serif"/>
          <w:b w:val="false"/>
          <w:color w:val="000000"/>
          <w:sz w:val="24"/>
        </w:rPr>
        <w:t>), proposes to issue and sell to the several underwriters listed in Schedule 1 hereto (the “</w:t>
      </w:r>
      <w:r>
        <w:rPr>
          <w:rFonts w:ascii="Arial;sans-serif" w:hAnsi="Arial;sans-serif"/>
          <w:b/>
          <w:color w:val="000000"/>
          <w:sz w:val="24"/>
        </w:rPr>
        <w:t>Underwriters</w:t>
      </w:r>
      <w:r>
        <w:rPr>
          <w:color w:val="000000"/>
        </w:rPr>
        <w:t>”</w:t>
      </w:r>
      <w:r>
        <w:rPr>
          <w:rFonts w:ascii="Arial;sans-serif" w:hAnsi="Arial;sans-serif"/>
          <w:b w:val="false"/>
          <w:color w:val="000000"/>
          <w:sz w:val="24"/>
        </w:rPr>
        <w:t>), for whom Citigroup Global Markets Inc., ING Financial Markets LLC, J.P. Morgan Securities LLC, BNP Paribas Securities Corp. and Wells Fargo Securities, LLC are acting as representatives (the “</w:t>
      </w:r>
      <w:r>
        <w:rPr>
          <w:rFonts w:ascii="Arial;sans-serif" w:hAnsi="Arial;sans-serif"/>
          <w:b/>
          <w:color w:val="000000"/>
          <w:sz w:val="24"/>
        </w:rPr>
        <w:t>Representatives</w:t>
      </w:r>
      <w:r>
        <w:rPr>
          <w:color w:val="000000"/>
        </w:rPr>
        <w:t>”</w:t>
      </w:r>
      <w:r>
        <w:rPr>
          <w:rFonts w:ascii="Arial;sans-serif" w:hAnsi="Arial;sans-serif"/>
          <w:b w:val="false"/>
          <w:color w:val="000000"/>
          <w:sz w:val="24"/>
        </w:rPr>
        <w:t>), $500,000,000 principal amount of its 5.250% Senior Notes due 2029 (the “</w:t>
      </w:r>
      <w:r>
        <w:rPr>
          <w:rFonts w:ascii="Arial;sans-serif" w:hAnsi="Arial;sans-serif"/>
          <w:b/>
          <w:color w:val="000000"/>
          <w:sz w:val="24"/>
        </w:rPr>
        <w:t>2029 Notes</w:t>
      </w:r>
      <w:r>
        <w:rPr>
          <w:color w:val="000000"/>
        </w:rPr>
        <w:t>”</w:t>
      </w:r>
      <w:r>
        <w:rPr>
          <w:rFonts w:ascii="Arial;sans-serif" w:hAnsi="Arial;sans-serif"/>
          <w:b w:val="false"/>
          <w:color w:val="000000"/>
          <w:sz w:val="24"/>
        </w:rPr>
        <w:t xml:space="preserve">), $500,000,000 principal amount of its 5.450%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4"/>
        </w:rPr>
        <w:t>Senior Notes due 2032 (the “</w:t>
      </w:r>
      <w:r>
        <w:rPr>
          <w:rFonts w:ascii="Arial;sans-serif" w:hAnsi="Arial;sans-serif"/>
          <w:b/>
          <w:color w:val="000000"/>
          <w:sz w:val="24"/>
        </w:rPr>
        <w:t>2032 Notes</w:t>
      </w:r>
      <w:r>
        <w:rPr>
          <w:color w:val="000000"/>
        </w:rPr>
        <w:t>”</w:t>
      </w:r>
      <w:r>
        <w:rPr>
          <w:rFonts w:ascii="Arial;sans-serif" w:hAnsi="Arial;sans-serif"/>
          <w:b w:val="false"/>
          <w:color w:val="000000"/>
          <w:sz w:val="24"/>
        </w:rPr>
        <w:t>) and $500,000,000 principal amount of its 5.850% Senior Notes due 2037 (the “</w:t>
      </w:r>
      <w:r>
        <w:rPr>
          <w:rFonts w:ascii="Arial;sans-serif" w:hAnsi="Arial;sans-serif"/>
          <w:b/>
          <w:color w:val="000000"/>
          <w:sz w:val="24"/>
        </w:rPr>
        <w:t>2037 Notes</w:t>
      </w:r>
      <w:r>
        <w:rPr>
          <w:color w:val="000000"/>
        </w:rPr>
        <w:t xml:space="preserve">” </w:t>
      </w:r>
      <w:r>
        <w:rPr>
          <w:rFonts w:ascii="Arial;sans-serif" w:hAnsi="Arial;sans-serif"/>
          <w:b w:val="false"/>
          <w:color w:val="000000"/>
          <w:sz w:val="24"/>
        </w:rPr>
        <w:t>and, together with the 2029 Notes and the 2032 Notes, the “</w:t>
      </w:r>
      <w:r>
        <w:rPr>
          <w:rFonts w:ascii="Arial;sans-serif" w:hAnsi="Arial;sans-serif"/>
          <w:b/>
          <w:color w:val="000000"/>
          <w:sz w:val="24"/>
        </w:rPr>
        <w:t>Securities</w:t>
      </w:r>
      <w:r>
        <w:rPr>
          <w:color w:val="000000"/>
        </w:rPr>
        <w:t>”</w:t>
      </w:r>
      <w:r>
        <w:rPr>
          <w:rFonts w:ascii="Arial;sans-serif" w:hAnsi="Arial;sans-serif"/>
          <w:b w:val="false"/>
          <w:color w:val="000000"/>
          <w:sz w:val="24"/>
        </w:rPr>
        <w:t>). The Securities will be issued pursuant to an Indenture dated as of March 11, 2016 (the “</w:t>
      </w:r>
      <w:r>
        <w:rPr>
          <w:rFonts w:ascii="Arial;sans-serif" w:hAnsi="Arial;sans-serif"/>
          <w:b/>
          <w:color w:val="000000"/>
          <w:sz w:val="24"/>
        </w:rPr>
        <w:t>Base Indenture</w:t>
      </w:r>
      <w:r>
        <w:rPr>
          <w:color w:val="000000"/>
        </w:rPr>
        <w:t>”</w:t>
      </w:r>
      <w:r>
        <w:rPr>
          <w:rFonts w:ascii="Arial;sans-serif" w:hAnsi="Arial;sans-serif"/>
          <w:b w:val="false"/>
          <w:color w:val="000000"/>
          <w:sz w:val="24"/>
        </w:rPr>
        <w:t>), as supplemented by Supplemental Indenture No. 1 thereto dated as of March 11, 2016 (the “</w:t>
      </w:r>
      <w:r>
        <w:rPr>
          <w:rFonts w:ascii="Arial;sans-serif" w:hAnsi="Arial;sans-serif"/>
          <w:b/>
          <w:color w:val="000000"/>
          <w:sz w:val="24"/>
        </w:rPr>
        <w:t>First Supplemental Indenture</w:t>
      </w:r>
      <w:r>
        <w:rPr>
          <w:color w:val="000000"/>
        </w:rPr>
        <w:t>”</w:t>
      </w:r>
      <w:r>
        <w:rPr>
          <w:rFonts w:ascii="Arial;sans-serif" w:hAnsi="Arial;sans-serif"/>
          <w:b w:val="false"/>
          <w:color w:val="000000"/>
          <w:sz w:val="24"/>
        </w:rPr>
        <w:t>) and a supplemental indenture thereto dated as of the Closing Date (the “</w:t>
      </w:r>
      <w:r>
        <w:rPr>
          <w:rFonts w:ascii="Arial;sans-serif" w:hAnsi="Arial;sans-serif"/>
          <w:b/>
          <w:color w:val="000000"/>
          <w:sz w:val="24"/>
        </w:rPr>
        <w:t>Sixth Supplemental Indenture</w:t>
      </w:r>
      <w:r>
        <w:rPr>
          <w:rFonts w:ascii="Arial;sans-serif" w:hAnsi="Arial;sans-serif"/>
          <w:b w:val="false"/>
          <w:color w:val="000000"/>
          <w:sz w:val="24"/>
        </w:rPr>
        <w:t>,” and the Base Indenture as supplemented by the First Supplemental Indenture and the Sixth Supplemental Indenture, the “</w:t>
      </w:r>
      <w:r>
        <w:rPr>
          <w:rFonts w:ascii="Arial;sans-serif" w:hAnsi="Arial;sans-serif"/>
          <w:b/>
          <w:color w:val="000000"/>
          <w:sz w:val="24"/>
        </w:rPr>
        <w:t>Indenture</w:t>
      </w:r>
      <w:r>
        <w:rPr>
          <w:color w:val="000000"/>
        </w:rPr>
        <w:t>”</w:t>
      </w:r>
      <w:r>
        <w:rPr>
          <w:rFonts w:ascii="Arial;sans-serif" w:hAnsi="Arial;sans-serif"/>
          <w:b w:val="false"/>
          <w:color w:val="000000"/>
          <w:sz w:val="24"/>
        </w:rPr>
        <w:t>) between the Company and Deutsche Bank Trust Company Americas, as trustee (the “</w:t>
      </w:r>
      <w:r>
        <w:rPr>
          <w:rFonts w:ascii="Arial;sans-serif" w:hAnsi="Arial;sans-serif"/>
          <w:b/>
          <w:color w:val="000000"/>
          <w:sz w:val="24"/>
        </w:rPr>
        <w:t>Trustee</w:t>
      </w:r>
      <w:r>
        <w:rPr>
          <w:color w:val="000000"/>
        </w:rPr>
        <w:t>”</w:t>
      </w:r>
      <w:r>
        <w:rPr>
          <w:rFonts w:ascii="Arial;sans-serif" w:hAnsi="Arial;sans-serif"/>
          <w:b w:val="false"/>
          <w:color w:val="000000"/>
          <w:sz w:val="24"/>
        </w:rPr>
        <w:t>).</w:t>
      </w:r>
    </w:p>
    <w:p>
      <w:pPr>
        <w:pStyle w:val="TextBody"/>
        <w:bidi w:val="0"/>
        <w:spacing w:lineRule="auto" w:line="288" w:before="0" w:after="240"/>
        <w:jc w:val="left"/>
        <w:rPr>
          <w:color w:val="000000"/>
        </w:rPr>
      </w:pPr>
      <w:r>
        <w:rPr>
          <w:color w:val="000000"/>
        </w:rPr>
        <w:t>    </w:t>
      </w:r>
      <w:r>
        <w:rPr>
          <w:rFonts w:ascii="Arial;sans-serif" w:hAnsi="Arial;sans-serif"/>
          <w:b w:val="false"/>
          <w:color w:val="000000"/>
          <w:sz w:val="24"/>
        </w:rPr>
        <w:t xml:space="preserve">The Company hereby confirms its agreement with the several Underwriters concerning the purchase and sale of the Securities, as follows: </w:t>
      </w:r>
    </w:p>
    <w:p>
      <w:pPr>
        <w:pStyle w:val="TextBody"/>
        <w:bidi w:val="0"/>
        <w:spacing w:lineRule="auto" w:line="288" w:before="0" w:after="240"/>
        <w:jc w:val="left"/>
        <w:rPr/>
      </w:pPr>
      <w:r>
        <w:rPr>
          <w:color w:val="000000"/>
        </w:rPr>
        <w:t>    </w:t>
      </w:r>
      <w:r>
        <w:rPr>
          <w:rFonts w:ascii="Arial;sans-serif" w:hAnsi="Arial;sans-serif"/>
          <w:b w:val="false"/>
          <w:color w:val="000000"/>
          <w:sz w:val="24"/>
        </w:rPr>
        <w:t>1.    </w:t>
      </w:r>
      <w:r>
        <w:rPr>
          <w:rFonts w:ascii="Arial;sans-serif" w:hAnsi="Arial;sans-serif"/>
          <w:b w:val="false"/>
          <w:color w:val="000000"/>
          <w:sz w:val="24"/>
          <w:u w:val="single"/>
        </w:rPr>
        <w:t>Registration Statement</w:t>
      </w:r>
      <w:r>
        <w:rPr>
          <w:rFonts w:ascii="Arial;sans-serif" w:hAnsi="Arial;sans-serif"/>
          <w:b w:val="false"/>
          <w:color w:val="000000"/>
          <w:sz w:val="24"/>
        </w:rPr>
        <w:t>. The Company has prepared and filed with the Securities and Exchange Commission (the “</w:t>
      </w:r>
      <w:r>
        <w:rPr>
          <w:rFonts w:ascii="Arial;sans-serif" w:hAnsi="Arial;sans-serif"/>
          <w:b/>
          <w:color w:val="000000"/>
          <w:sz w:val="24"/>
        </w:rPr>
        <w:t>Commission</w:t>
      </w:r>
      <w:r>
        <w:rPr>
          <w:color w:val="000000"/>
        </w:rPr>
        <w:t>”</w:t>
      </w:r>
      <w:r>
        <w:rPr>
          <w:rFonts w:ascii="Arial;sans-serif" w:hAnsi="Arial;sans-serif"/>
          <w:b w:val="false"/>
          <w:color w:val="000000"/>
          <w:sz w:val="24"/>
        </w:rPr>
        <w:t>) under the Securities Act of 1933, as amended, and the rules and regulations of the Commission thereunder (collectively, the “</w:t>
      </w:r>
      <w:r>
        <w:rPr>
          <w:rFonts w:ascii="Arial;sans-serif" w:hAnsi="Arial;sans-serif"/>
          <w:b/>
          <w:color w:val="000000"/>
          <w:sz w:val="24"/>
        </w:rPr>
        <w:t>Securities Act</w:t>
      </w:r>
      <w:r>
        <w:rPr>
          <w:color w:val="000000"/>
        </w:rPr>
        <w:t>”</w:t>
      </w:r>
      <w:r>
        <w:rPr>
          <w:rFonts w:ascii="Arial;sans-serif" w:hAnsi="Arial;sans-serif"/>
          <w:b w:val="false"/>
          <w:color w:val="000000"/>
          <w:sz w:val="24"/>
        </w:rPr>
        <w:t>), an automatic shelf registration statement on Form S-3 (File No. 333-297937), including a prospectus, relating to the Securities, which automatic shelf registration statement became effective upon filing under Rule 462(e) under the Securities Act. Such registration statement, as of any time, including the information, if any, deemed pursuant to Rule 430B under the Securities Act to be part of the registration statement as of such time (“</w:t>
      </w:r>
      <w:r>
        <w:rPr>
          <w:rFonts w:ascii="Arial;sans-serif" w:hAnsi="Arial;sans-serif"/>
          <w:b/>
          <w:color w:val="000000"/>
          <w:sz w:val="24"/>
        </w:rPr>
        <w:t>Rule 430 Information</w:t>
      </w:r>
      <w:r>
        <w:rPr>
          <w:color w:val="000000"/>
        </w:rPr>
        <w:t>”</w:t>
      </w:r>
      <w:r>
        <w:rPr>
          <w:rFonts w:ascii="Arial;sans-serif" w:hAnsi="Arial;sans-serif"/>
          <w:b w:val="false"/>
          <w:color w:val="000000"/>
          <w:sz w:val="24"/>
        </w:rPr>
        <w:t>), is referred to herein as the “</w:t>
      </w:r>
      <w:r>
        <w:rPr>
          <w:rFonts w:ascii="Arial;sans-serif" w:hAnsi="Arial;sans-serif"/>
          <w:b/>
          <w:color w:val="000000"/>
          <w:sz w:val="24"/>
        </w:rPr>
        <w:t>Registration Statement</w:t>
      </w:r>
      <w:r>
        <w:rPr>
          <w:color w:val="000000"/>
        </w:rPr>
        <w:t>”</w:t>
      </w:r>
      <w:r>
        <w:rPr>
          <w:rFonts w:ascii="Arial;sans-serif" w:hAnsi="Arial;sans-serif"/>
          <w:b w:val="false"/>
          <w:color w:val="000000"/>
          <w:sz w:val="24"/>
        </w:rPr>
        <w:t>; and as used herein, the term “</w:t>
      </w:r>
      <w:r>
        <w:rPr>
          <w:rFonts w:ascii="Arial;sans-serif" w:hAnsi="Arial;sans-serif"/>
          <w:b/>
          <w:color w:val="000000"/>
          <w:sz w:val="24"/>
        </w:rPr>
        <w:t>Preliminary Prospectus</w:t>
      </w:r>
      <w:r>
        <w:rPr>
          <w:color w:val="000000"/>
        </w:rPr>
        <w:t xml:space="preserve">” </w:t>
      </w:r>
      <w:r>
        <w:rPr>
          <w:rFonts w:ascii="Arial;sans-serif" w:hAnsi="Arial;sans-serif"/>
          <w:b w:val="false"/>
          <w:color w:val="000000"/>
          <w:sz w:val="24"/>
        </w:rPr>
        <w:t>means each prospectus used in connection with the offering of the Securities and included in such registration statement (and any amendments thereto) before it becomes effective, any prospectus used in connection with the offering of the Securities and filed with the Commission pursuant to Rule 424(a) under the Securities Act and the prospectus used in connection with the offering of the Securities and included in the Registration Statement at the time of its effectiveness that omits Rule 430 Information, and the term “</w:t>
      </w:r>
      <w:r>
        <w:rPr>
          <w:rFonts w:ascii="Arial;sans-serif" w:hAnsi="Arial;sans-serif"/>
          <w:b/>
          <w:color w:val="000000"/>
          <w:sz w:val="24"/>
        </w:rPr>
        <w:t>Prospectus</w:t>
      </w:r>
      <w:r>
        <w:rPr>
          <w:color w:val="000000"/>
        </w:rPr>
        <w:t xml:space="preserve">” </w:t>
      </w:r>
      <w:r>
        <w:rPr>
          <w:rFonts w:ascii="Arial;sans-serif" w:hAnsi="Arial;sans-serif"/>
          <w:b w:val="false"/>
          <w:color w:val="000000"/>
          <w:sz w:val="24"/>
        </w:rPr>
        <w:t>means the prospectus in the form first used (or made available upon request of purchasers pursuant to Rule 173 under the Securities Act) in connection with confirmation of sales of the Securities. Any reference in this Underwriting Agreement (this “</w:t>
      </w:r>
      <w:r>
        <w:rPr>
          <w:rFonts w:ascii="Arial;sans-serif" w:hAnsi="Arial;sans-serif"/>
          <w:b/>
          <w:color w:val="000000"/>
          <w:sz w:val="24"/>
        </w:rPr>
        <w:t>Agreement</w:t>
      </w:r>
      <w:r>
        <w:rPr>
          <w:color w:val="000000"/>
        </w:rPr>
        <w:t>”</w:t>
      </w:r>
      <w:r>
        <w:rPr>
          <w:rFonts w:ascii="Arial;sans-serif" w:hAnsi="Arial;sans-serif"/>
          <w:b w:val="false"/>
          <w:color w:val="000000"/>
          <w:sz w:val="24"/>
        </w:rPr>
        <w:t xml:space="preserve">)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69950"/>
                <wp:effectExtent l="0" t="0" r="0" b="0"/>
                <wp:wrapNone/>
                <wp:docPr id="6" name="Frame6"/>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4"/>
        </w:rPr>
        <w:t>rules and regulations of the Commission thereunder (collectively, the “</w:t>
      </w:r>
      <w:r>
        <w:rPr>
          <w:rFonts w:ascii="Arial;sans-serif" w:hAnsi="Arial;sans-serif"/>
          <w:b/>
          <w:color w:val="000000"/>
          <w:sz w:val="24"/>
        </w:rPr>
        <w:t>Exchange Act</w:t>
      </w:r>
      <w:r>
        <w:rPr>
          <w:color w:val="000000"/>
        </w:rPr>
        <w:t>”</w:t>
      </w:r>
      <w:r>
        <w:rPr>
          <w:rFonts w:ascii="Arial;sans-serif" w:hAnsi="Arial;sans-serif"/>
          <w:b w:val="false"/>
          <w:color w:val="000000"/>
          <w:sz w:val="24"/>
        </w:rPr>
        <w:t>) that are deemed to be incorporated by reference therein. Capitalized terms used but not defined herein shall have the meanings given to such terms in the Registration Statement and the Prospectus.</w:t>
      </w:r>
    </w:p>
    <w:p>
      <w:pPr>
        <w:pStyle w:val="TextBody"/>
        <w:bidi w:val="0"/>
        <w:spacing w:lineRule="auto" w:line="288" w:before="0" w:after="240"/>
        <w:jc w:val="left"/>
        <w:rPr/>
      </w:pPr>
      <w:r>
        <w:rPr>
          <w:color w:val="000000"/>
        </w:rPr>
        <w:t>    </w:t>
      </w:r>
      <w:r>
        <w:rPr>
          <w:rFonts w:ascii="Arial;sans-serif" w:hAnsi="Arial;sans-serif"/>
          <w:b w:val="false"/>
          <w:color w:val="000000"/>
          <w:sz w:val="24"/>
        </w:rPr>
        <w:t>At or prior to 4:00 P.M., New York time, the time when sales of the Securities were first made (the “</w:t>
      </w:r>
      <w:r>
        <w:rPr>
          <w:rFonts w:ascii="Arial;sans-serif" w:hAnsi="Arial;sans-serif"/>
          <w:b/>
          <w:color w:val="000000"/>
          <w:sz w:val="24"/>
        </w:rPr>
        <w:t>Time of Sale</w:t>
      </w:r>
      <w:r>
        <w:rPr>
          <w:color w:val="000000"/>
        </w:rPr>
        <w:t>”</w:t>
      </w:r>
      <w:r>
        <w:rPr>
          <w:rFonts w:ascii="Arial;sans-serif" w:hAnsi="Arial;sans-serif"/>
          <w:b w:val="false"/>
          <w:color w:val="000000"/>
          <w:sz w:val="24"/>
        </w:rPr>
        <w:t>), the following information had been prepared (collectively, the “</w:t>
      </w:r>
      <w:r>
        <w:rPr>
          <w:rFonts w:ascii="Arial;sans-serif" w:hAnsi="Arial;sans-serif"/>
          <w:b/>
          <w:color w:val="000000"/>
          <w:sz w:val="24"/>
        </w:rPr>
        <w:t>Time of Sale Information</w:t>
      </w:r>
      <w:r>
        <w:rPr>
          <w:color w:val="000000"/>
        </w:rPr>
        <w:t>”</w:t>
      </w:r>
      <w:r>
        <w:rPr>
          <w:rFonts w:ascii="Arial;sans-serif" w:hAnsi="Arial;sans-serif"/>
          <w:b w:val="false"/>
          <w:color w:val="000000"/>
          <w:sz w:val="24"/>
        </w:rPr>
        <w:t>): a Preliminary Prospectus dated September 15, 2026, and each “</w:t>
      </w:r>
      <w:r>
        <w:rPr>
          <w:rFonts w:ascii="Arial;sans-serif" w:hAnsi="Arial;sans-serif"/>
          <w:b/>
          <w:color w:val="000000"/>
          <w:sz w:val="24"/>
        </w:rPr>
        <w:t>free-writing prospectus</w:t>
      </w:r>
      <w:r>
        <w:rPr>
          <w:color w:val="000000"/>
        </w:rPr>
        <w:t xml:space="preserve">” </w:t>
      </w:r>
      <w:r>
        <w:rPr>
          <w:rFonts w:ascii="Arial;sans-serif" w:hAnsi="Arial;sans-serif"/>
          <w:b w:val="false"/>
          <w:color w:val="000000"/>
          <w:sz w:val="24"/>
        </w:rPr>
        <w:t>(as defined in Rule 405 under the Securities Act) listed on Annex A hereto.</w:t>
      </w:r>
    </w:p>
    <w:p>
      <w:pPr>
        <w:pStyle w:val="TextBody"/>
        <w:bidi w:val="0"/>
        <w:spacing w:lineRule="auto" w:line="288" w:before="0" w:after="0"/>
        <w:jc w:val="left"/>
        <w:rPr/>
      </w:pPr>
      <w:r>
        <w:rPr>
          <w:color w:val="000000"/>
        </w:rPr>
        <w:t>    </w:t>
      </w:r>
      <w:r>
        <w:rPr>
          <w:rFonts w:ascii="Arial;sans-serif" w:hAnsi="Arial;sans-serif"/>
          <w:b w:val="false"/>
          <w:color w:val="000000"/>
          <w:sz w:val="24"/>
        </w:rPr>
        <w:t>2.    </w:t>
      </w:r>
      <w:r>
        <w:rPr>
          <w:rFonts w:ascii="Arial;sans-serif" w:hAnsi="Arial;sans-serif"/>
          <w:b w:val="false"/>
          <w:color w:val="000000"/>
          <w:sz w:val="24"/>
          <w:u w:val="single"/>
        </w:rPr>
        <w:t>Purchase of the Securities by the Underwriters</w:t>
      </w:r>
      <w:r>
        <w:rPr>
          <w:rFonts w:ascii="Arial;sans-serif" w:hAnsi="Arial;sans-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(i) with respect to the 2029 Notes, at a purchase price of 99.509% of the principal amount thereof plus accrued interest, if any, from September 29, 2026 to the Closing Date (the “</w:t>
      </w:r>
      <w:r>
        <w:rPr>
          <w:rFonts w:ascii="Arial;sans-serif" w:hAnsi="Arial;sans-serif"/>
          <w:b/>
          <w:color w:val="000000"/>
          <w:sz w:val="24"/>
        </w:rPr>
        <w:t>2029 Notes Purchase Price</w:t>
      </w:r>
      <w:r>
        <w:rPr>
          <w:color w:val="000000"/>
        </w:rPr>
        <w:t>”</w:t>
      </w:r>
      <w:r>
        <w:rPr>
          <w:rFonts w:ascii="Arial;sans-serif" w:hAnsi="Arial;sans-serif"/>
          <w:b w:val="false"/>
          <w:color w:val="000000"/>
          <w:sz w:val="24"/>
        </w:rPr>
        <w:t>), (ii) with respect to the 2032 Notes, at a purchase price of 99.241% of the principal amount thereof plus accrued interest, if any, from September 29, 2026 to the Closing Date (the “</w:t>
      </w:r>
      <w:r>
        <w:rPr>
          <w:rFonts w:ascii="Arial;sans-serif" w:hAnsi="Arial;sans-serif"/>
          <w:b/>
          <w:color w:val="000000"/>
          <w:sz w:val="24"/>
        </w:rPr>
        <w:t>2032 Notes Purchase Price</w:t>
      </w:r>
      <w:r>
        <w:rPr>
          <w:color w:val="000000"/>
        </w:rPr>
        <w:t>”</w:t>
      </w:r>
      <w:r>
        <w:rPr>
          <w:rFonts w:ascii="Arial;sans-serif" w:hAnsi="Arial;sans-serif"/>
          <w:b w:val="false"/>
          <w:color w:val="000000"/>
          <w:sz w:val="24"/>
        </w:rPr>
        <w:t>) and (iii) with respect to the 2037 Notes, at a purchase price of 99.268% of the principal amount thereof plus accrued interest, if any, from September 29, 2026 to the Closing Date (the “</w:t>
      </w:r>
      <w:r>
        <w:rPr>
          <w:rFonts w:ascii="Arial;sans-serif" w:hAnsi="Arial;sans-serif"/>
          <w:b/>
          <w:color w:val="000000"/>
          <w:sz w:val="24"/>
        </w:rPr>
        <w:t>2037 Notes Purchase Price</w:t>
      </w:r>
      <w:r>
        <w:rPr>
          <w:color w:val="000000"/>
        </w:rPr>
        <w:t xml:space="preserve">” </w:t>
      </w:r>
      <w:r>
        <w:rPr>
          <w:rFonts w:ascii="Arial;sans-serif" w:hAnsi="Arial;sans-serif"/>
          <w:b w:val="false"/>
          <w:color w:val="000000"/>
          <w:sz w:val="24"/>
        </w:rPr>
        <w:t>and, together with the 2029 Notes Purchase Price and 2032 Notes Purchase Price, the “</w:t>
      </w:r>
      <w:r>
        <w:rPr>
          <w:rFonts w:ascii="Arial;sans-serif" w:hAnsi="Arial;sans-serif"/>
          <w:b/>
          <w:color w:val="000000"/>
          <w:sz w:val="24"/>
        </w:rPr>
        <w:t>Purchase Price</w:t>
      </w:r>
      <w:r>
        <w:rPr>
          <w:color w:val="000000"/>
        </w:rPr>
        <w:t>”</w:t>
      </w:r>
      <w:r>
        <w:rPr>
          <w:rFonts w:ascii="Arial;sans-serif" w:hAnsi="Arial;sans-serif"/>
          <w:b w:val="false"/>
          <w:color w:val="000000"/>
          <w:sz w:val="24"/>
        </w:rPr>
        <w:t>). The Company will not be obligated to deliver any of the Securities except upon payment for all the Securities to be purchased as provided herein.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(b)    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Arial;sans-serif" w:hAnsi="Arial;sans-serif"/>
          <w:b w:val="false"/>
          <w:color w:val="000000"/>
          <w:sz w:val="24"/>
        </w:rPr>
        <w:t xml:space="preserve">(c)    Payment for and delivery of the Securities will be made at the offices of Davis Polk &amp; Wardwell LLP, 450 Lexington Avenue, New York, NY 10017, at 10:00 A.M., New York time, on September 29, 2026, or at such other time or place on the same or such other date, not later than the fifth business day thereafter, as the Representatives and the Company may agree upon in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69950"/>
                <wp:effectExtent l="0" t="0" r="0" b="0"/>
                <wp:wrapNone/>
                <wp:docPr id="7" name="Frame7"/>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4"/>
        </w:rPr>
        <w:t>writing. The time and date of such payment and delivery is referred to herein as the “</w:t>
      </w:r>
      <w:r>
        <w:rPr>
          <w:rFonts w:ascii="Arial;sans-serif" w:hAnsi="Arial;sans-serif"/>
          <w:b/>
          <w:color w:val="000000"/>
          <w:sz w:val="24"/>
        </w:rPr>
        <w:t>Closing Date</w:t>
      </w:r>
      <w:r>
        <w:rPr>
          <w:color w:val="000000"/>
        </w:rPr>
        <w:t>”</w:t>
      </w:r>
      <w:r>
        <w:rPr>
          <w:rFonts w:ascii="Arial;sans-serif" w:hAnsi="Arial;sans-serif"/>
          <w:b w:val="false"/>
          <w:color w:val="000000"/>
          <w:sz w:val="24"/>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Arial;sans-serif" w:hAnsi="Arial;sans-serif"/>
          <w:b w:val="false"/>
          <w:color w:val="000000"/>
          <w:sz w:val="24"/>
        </w:rPr>
        <w:t>(d)    Payment for the Securities shall be made by wire transfer in immediately available funds to the account(s) specified by the Company to the Representatives against delivery to the nominee of The Depository Trust Company (“</w:t>
      </w:r>
      <w:r>
        <w:rPr>
          <w:rFonts w:ascii="Arial;sans-serif" w:hAnsi="Arial;sans-serif"/>
          <w:b/>
          <w:color w:val="000000"/>
          <w:sz w:val="24"/>
        </w:rPr>
        <w:t>DTC</w:t>
      </w:r>
      <w:r>
        <w:rPr>
          <w:color w:val="000000"/>
        </w:rPr>
        <w:t>”</w:t>
      </w:r>
      <w:r>
        <w:rPr>
          <w:rFonts w:ascii="Arial;sans-serif" w:hAnsi="Arial;sans-serif"/>
          <w:b w:val="false"/>
          <w:color w:val="000000"/>
          <w:sz w:val="24"/>
        </w:rPr>
        <w:t>) for the account of the Underwriters, of one or more global notes representing the Securities (collectively, the “</w:t>
      </w:r>
      <w:r>
        <w:rPr>
          <w:rFonts w:ascii="Arial;sans-serif" w:hAnsi="Arial;sans-serif"/>
          <w:b/>
          <w:color w:val="000000"/>
          <w:sz w:val="24"/>
        </w:rPr>
        <w:t>Global Notes</w:t>
      </w:r>
      <w:r>
        <w:rPr>
          <w:color w:val="000000"/>
        </w:rPr>
        <w:t>”</w:t>
      </w:r>
      <w:r>
        <w:rPr>
          <w:rFonts w:ascii="Arial;sans-serif" w:hAnsi="Arial;sans-serif"/>
          <w:b w:val="false"/>
          <w:color w:val="000000"/>
          <w:sz w:val="24"/>
        </w:rPr>
        <w:t>), with any transfer taxes payable in connection with the sale of the Securities duly paid by the Company. The Global Notes will be made available for inspection by the Representatives not later than 1:00 P.M., New York time, on the business day prior to the Closing Date.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(e)    The Company acknowledges and agrees that the Underwriters are acting solely in the capacity of an arm’s length contractual counterparty to the Company with respect to the offering of Securities contemplated hereby (including in connection with determining the terms of such offering) and not as financial advisors or fiduciaries to, or agents of, the Company or any other person. Additionally, none of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any other Underwriter shall have any responsibility or liability to the Company with respect thereto. Any review by the Representatives or any Underwriter of the Company, the transactions contemplated hereby or other matters relating to such transactions will be performed solely for the benefit of the Representatives or such Underwriter, as the case may be, and shall not be on behalf of the Company or any other person.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3.    </w:t>
      </w:r>
      <w:r>
        <w:rPr>
          <w:rFonts w:ascii="Arial;sans-serif" w:hAnsi="Arial;sans-serif"/>
          <w:b w:val="false"/>
          <w:color w:val="000000"/>
          <w:sz w:val="24"/>
          <w:u w:val="single"/>
        </w:rPr>
        <w:t>Representations and Warranties of the Company</w:t>
      </w:r>
      <w:r>
        <w:rPr>
          <w:rFonts w:ascii="Arial;sans-serif" w:hAnsi="Arial;sans-serif"/>
          <w:b w:val="false"/>
          <w:color w:val="000000"/>
          <w:sz w:val="24"/>
        </w:rPr>
        <w:t>. The Company represents and warrants to each Underwriter that:</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Arial;sans-serif" w:hAnsi="Arial;sans-serif"/>
          <w:b w:val="false"/>
          <w:color w:val="000000"/>
          <w:sz w:val="24"/>
        </w:rPr>
        <w:t>(a)</w:t>
      </w:r>
      <w:r>
        <w:rPr>
          <w:rFonts w:ascii="Arial;sans-serif" w:hAnsi="Arial;sans-serif"/>
          <w:b w:val="false"/>
          <w:i/>
          <w:color w:val="000000"/>
          <w:sz w:val="24"/>
        </w:rPr>
        <w:t>Preliminary Prospectus.</w:t>
      </w:r>
      <w:r>
        <w:rPr>
          <w:color w:val="000000"/>
        </w:rPr>
        <w:t xml:space="preserve"> </w:t>
      </w:r>
      <w:r>
        <w:rPr>
          <w:rFonts w:ascii="Arial;sans-serif" w:hAnsi="Arial;sans-serif"/>
          <w:b w:val="false"/>
          <w:color w:val="000000"/>
          <w:sz w:val="24"/>
        </w:rPr>
        <w:t xml:space="preserve">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rPr>
        <w:t xml:space="preserve">that the Company makes no representation or warranty with respect to any statements or omissions made in reliance upon and in conformity with information relating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69950"/>
                <wp:effectExtent l="0" t="0" r="0" b="0"/>
                <wp:wrapNone/>
                <wp:docPr id="8" name="Frame8"/>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to any Underwriter furnished to the Company in writing by such Underwriter through the Representatives expressly for use in any Preliminary Prospectus.</w:t>
      </w:r>
    </w:p>
    <w:p>
      <w:pPr>
        <w:pStyle w:val="TextBody"/>
        <w:bidi w:val="0"/>
        <w:spacing w:lineRule="auto" w:line="288" w:before="0" w:after="240"/>
        <w:ind w:left="0" w:right="0" w:firstLine="720"/>
        <w:jc w:val="left"/>
        <w:rPr/>
      </w:pPr>
      <w:r>
        <w:rPr>
          <w:rFonts w:ascii="Arial;sans-serif" w:hAnsi="Arial;sans-serif"/>
          <w:b w:val="false"/>
          <w:color w:val="000000"/>
          <w:sz w:val="24"/>
        </w:rPr>
        <w:t>(b)</w:t>
      </w:r>
      <w:r>
        <w:rPr>
          <w:rFonts w:ascii="Arial;sans-serif" w:hAnsi="Arial;sans-serif"/>
          <w:b w:val="false"/>
          <w:i/>
          <w:color w:val="000000"/>
          <w:sz w:val="24"/>
        </w:rPr>
        <w:t>Time of Sale Information</w:t>
      </w:r>
      <w:r>
        <w:rPr>
          <w:rFonts w:ascii="Arial;sans-serif" w:hAnsi="Arial;sans-serif"/>
          <w:b w:val="false"/>
          <w:color w:val="000000"/>
          <w:sz w:val="24"/>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rPr>
        <w:t>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the Time of Sale Information or the Prospectus. No statement of material fact included in the Prospectus has been omitted from the Time of Sale Information and no statement of material fact included in the Time of Sale Information that is required to be included in the Prospectus has been omitted therefrom.</w:t>
      </w:r>
    </w:p>
    <w:p>
      <w:pPr>
        <w:pStyle w:val="TextBody"/>
        <w:bidi w:val="0"/>
        <w:spacing w:lineRule="auto" w:line="288" w:before="0" w:after="240"/>
        <w:ind w:left="0" w:right="0" w:firstLine="720"/>
        <w:jc w:val="left"/>
        <w:rPr/>
      </w:pPr>
      <w:r>
        <w:rPr>
          <w:rFonts w:ascii="Arial;sans-serif" w:hAnsi="Arial;sans-serif"/>
          <w:b w:val="false"/>
          <w:color w:val="000000"/>
          <w:sz w:val="24"/>
        </w:rPr>
        <w:t>(c)</w:t>
      </w:r>
      <w:r>
        <w:rPr>
          <w:rFonts w:ascii="Arial;sans-serif" w:hAnsi="Arial;sans-serif"/>
          <w:b w:val="false"/>
          <w:i/>
          <w:color w:val="000000"/>
          <w:sz w:val="24"/>
        </w:rPr>
        <w:t>Issuer</w:t>
      </w:r>
      <w:r>
        <w:rPr>
          <w:color w:val="000000"/>
        </w:rPr>
        <w:t xml:space="preserve"> </w:t>
      </w:r>
      <w:r>
        <w:rPr>
          <w:rFonts w:ascii="Arial;sans-serif" w:hAnsi="Arial;sans-serif"/>
          <w:b w:val="false"/>
          <w:i/>
          <w:color w:val="000000"/>
          <w:sz w:val="24"/>
        </w:rPr>
        <w:t xml:space="preserve">Free Writing Prospectus. </w:t>
      </w:r>
      <w:r>
        <w:rPr>
          <w:rFonts w:ascii="Arial;sans-serif" w:hAnsi="Arial;sans-serif"/>
          <w:b w:val="false"/>
          <w:color w:val="000000"/>
          <w:sz w:val="24"/>
        </w:rPr>
        <w:t>The Company (including its agents and representatives, other than the Underwriters in their capacity as such) has not prepared, made, used, authorized, approved or referred to and will not prepare, make, use, authorize, approve or refer to any “</w:t>
      </w:r>
      <w:r>
        <w:rPr>
          <w:rFonts w:ascii="Arial;sans-serif" w:hAnsi="Arial;sans-serif"/>
          <w:b/>
          <w:color w:val="000000"/>
          <w:sz w:val="24"/>
        </w:rPr>
        <w:t>written communication</w:t>
      </w:r>
      <w:r>
        <w:rPr>
          <w:color w:val="000000"/>
        </w:rPr>
        <w:t xml:space="preserve">” </w:t>
      </w:r>
      <w:r>
        <w:rPr>
          <w:rFonts w:ascii="Arial;sans-serif" w:hAnsi="Arial;sans-serif"/>
          <w:b w:val="false"/>
          <w:color w:val="000000"/>
          <w:sz w:val="24"/>
        </w:rPr>
        <w:t>(as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Arial;sans-serif" w:hAnsi="Arial;sans-serif"/>
          <w:b/>
          <w:color w:val="000000"/>
          <w:sz w:val="24"/>
        </w:rPr>
        <w:t>Issuer Free Writing Prospectus</w:t>
      </w:r>
      <w:r>
        <w:rPr>
          <w:color w:val="000000"/>
        </w:rPr>
        <w:t>”</w:t>
      </w:r>
      <w:r>
        <w:rPr>
          <w:rFonts w:ascii="Arial;sans-serif" w:hAnsi="Arial;sans-serif"/>
          <w:b w:val="false"/>
          <w:color w:val="000000"/>
          <w:sz w:val="24"/>
        </w:rPr>
        <w:t xml:space="preserve">)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rPr>
        <w:t>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69950"/>
                <wp:effectExtent l="0" t="0" r="0" b="0"/>
                <wp:wrapNone/>
                <wp:docPr id="9" name="Frame9"/>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pPr>
      <w:r>
        <w:rPr>
          <w:rFonts w:ascii="Arial;sans-serif" w:hAnsi="Arial;sans-serif"/>
          <w:b w:val="false"/>
          <w:color w:val="000000"/>
          <w:sz w:val="24"/>
        </w:rPr>
        <w:t>(d)</w:t>
      </w:r>
      <w:r>
        <w:rPr>
          <w:rFonts w:ascii="Arial;sans-serif" w:hAnsi="Arial;sans-serif"/>
          <w:b w:val="false"/>
          <w:i/>
          <w:color w:val="000000"/>
          <w:sz w:val="24"/>
        </w:rPr>
        <w:t>Registration Statement and Prospectus.</w:t>
      </w:r>
      <w:r>
        <w:rPr>
          <w:color w:val="000000"/>
        </w:rPr>
        <w:t xml:space="preserve"> </w:t>
      </w:r>
      <w:r>
        <w:rPr>
          <w:rFonts w:ascii="Arial;sans-serif" w:hAnsi="Arial;sans-serif"/>
          <w:b w:val="false"/>
          <w:color w:val="000000"/>
          <w:sz w:val="24"/>
        </w:rPr>
        <w:t>The Registration Statement is an “</w:t>
      </w:r>
      <w:r>
        <w:rPr>
          <w:rFonts w:ascii="Arial;sans-serif" w:hAnsi="Arial;sans-serif"/>
          <w:b/>
          <w:color w:val="000000"/>
          <w:sz w:val="24"/>
        </w:rPr>
        <w:t>automatic shelf registration statement</w:t>
      </w:r>
      <w:r>
        <w:rPr>
          <w:color w:val="000000"/>
        </w:rPr>
        <w:t xml:space="preserve">” </w:t>
      </w:r>
      <w:r>
        <w:rPr>
          <w:rFonts w:ascii="Arial;sans-serif" w:hAnsi="Arial;sans-serif"/>
          <w:b w:val="false"/>
          <w:color w:val="000000"/>
          <w:sz w:val="24"/>
        </w:rPr>
        <w:t>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Arial;sans-serif" w:hAnsi="Arial;sans-serif"/>
          <w:b/>
          <w:color w:val="000000"/>
          <w:sz w:val="24"/>
        </w:rPr>
        <w:t>Trust Indenture Act</w:t>
      </w:r>
      <w:r>
        <w:rPr>
          <w:color w:val="000000"/>
        </w:rPr>
        <w:t>”</w:t>
      </w:r>
      <w:r>
        <w:rPr>
          <w:rFonts w:ascii="Arial;sans-serif" w:hAnsi="Arial;sans-serif"/>
          <w:b w:val="false"/>
          <w:color w:val="000000"/>
          <w:sz w:val="24"/>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rPr>
        <w:t>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w:t>
      </w:r>
    </w:p>
    <w:p>
      <w:pPr>
        <w:pStyle w:val="TextBody"/>
        <w:bidi w:val="0"/>
        <w:spacing w:lineRule="auto" w:line="288"/>
        <w:jc w:val="left"/>
        <w:rPr/>
      </w:pPr>
      <w:r>
        <w:rPr>
          <w:color w:val="000000"/>
        </w:rPr>
        <w:t>    </w:t>
      </w:r>
      <w:r>
        <w:rPr>
          <w:rFonts w:ascii="Arial;sans-serif" w:hAnsi="Arial;sans-serif"/>
          <w:b w:val="false"/>
          <w:color w:val="000000"/>
          <w:sz w:val="24"/>
        </w:rPr>
        <w:t>(e)</w:t>
      </w:r>
      <w:r>
        <w:rPr>
          <w:color w:val="000000"/>
        </w:rPr>
        <w:t>    </w:t>
      </w:r>
      <w:r>
        <w:rPr>
          <w:rFonts w:ascii="Arial;sans-serif" w:hAnsi="Arial;sans-serif"/>
          <w:b w:val="false"/>
          <w:i/>
          <w:color w:val="000000"/>
          <w:sz w:val="24"/>
        </w:rPr>
        <w:t xml:space="preserve">Incorporated Documents. </w:t>
      </w:r>
      <w:r>
        <w:rPr>
          <w:rFonts w:ascii="Arial;sans-serif" w:hAnsi="Arial;sans-serif"/>
          <w:b w:val="false"/>
          <w:color w:val="000000"/>
          <w:sz w:val="24"/>
        </w:rPr>
        <w:t xml:space="preserve">The documents incorporated by reference in the Registration Statement, the Prospectus and the Time of Sale Information, when such incorporated documents were filed with the Commission, conformed in all material respects to the requirements of the Exchange Act and the rules and regulations of the Commission thereunder, and none of such documents contained any untrue statement of a material fact or omitted to state a material fact required to be stated therein or necessary in order to make the statements therein, in the light of the circumstances under which they were made, not misleading; and any further documents so filed and incorporated by reference during the Prospectus Delivery Period (as defined below) in the Registration Statement, the Prospectus or the Time of Sale Information, when such documents become effective or are filed with the Commission, as the case may be, will conform in all material respects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69950"/>
                <wp:effectExtent l="0" t="0" r="0" b="0"/>
                <wp:wrapNone/>
                <wp:docPr id="10" name="Frame10"/>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requirements of the Securities Act or the Exchange Act, as applicable, and will not contain any untrue statement of a material fact or omit to state a material fact required to be stated therein or necessary in order to make the statements therein, in the light of the circumstances under which they were made, not misleading.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(f)    </w:t>
      </w:r>
      <w:r>
        <w:rPr>
          <w:rFonts w:ascii="Arial;sans-serif" w:hAnsi="Arial;sans-serif"/>
          <w:b w:val="false"/>
          <w:i/>
          <w:color w:val="000000"/>
          <w:sz w:val="24"/>
        </w:rPr>
        <w:t>Financial Statements.</w:t>
      </w:r>
      <w:r>
        <w:rPr>
          <w:color w:val="000000"/>
        </w:rPr>
        <w:t xml:space="preserve"> </w:t>
      </w:r>
      <w:r>
        <w:rPr>
          <w:rFonts w:ascii="Arial;sans-serif" w:hAnsi="Arial;sans-serif"/>
          <w:b w:val="false"/>
          <w:color w:val="000000"/>
          <w:sz w:val="24"/>
        </w:rPr>
        <w:t>The financial statements and the related notes thereto included or incorporated by reference in the Registration Statement, the Time of Sale Information and the Prospectus comply in all material respects with the applicable requirements of the Securities Act and the Exchange Act, as applicable, and present fairly in all material respects the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w:t>
      </w:r>
      <w:r>
        <w:rPr>
          <w:rFonts w:ascii="Arial;sans-serif" w:hAnsi="Arial;sans-serif"/>
          <w:b/>
          <w:color w:val="000000"/>
          <w:sz w:val="24"/>
        </w:rPr>
        <w:t>GAAP</w:t>
      </w:r>
      <w:r>
        <w:rPr>
          <w:color w:val="000000"/>
        </w:rPr>
        <w:t>”</w:t>
      </w:r>
      <w:r>
        <w:rPr>
          <w:rFonts w:ascii="Arial;sans-serif" w:hAnsi="Arial;sans-serif"/>
          <w:b w:val="false"/>
          <w:color w:val="000000"/>
          <w:sz w:val="24"/>
        </w:rPr>
        <w:t>) applied on a consistent basis throughout the periods covered thereby, and the supporting schedules included or incorporated by reference in the Registration Statement, the Prospectus and the Time of Sale Information present fairly in all material respects the information required to be stated therein; and the other financial information relating to the Company and its consolidated subsidiaries included or incorporated by reference in the Registration Statement, the Time of Sale Information and the Prospectus has been derived from the accounting records of the Company and its subsidiaries and presents fairly in all material respects the information shown thereby. The interactive data in eXtensible Business Reporting Language included or incorporated by reference in the Registration Statement, the Prospectus and the Time of Sale Information fairly presents the information called for in all material respects and is prepared in accordance with the Commission’s rules and guidelines applicable thereto.</w:t>
      </w:r>
    </w:p>
    <w:p>
      <w:pPr>
        <w:pStyle w:val="TextBody"/>
        <w:bidi w:val="0"/>
        <w:spacing w:before="0" w:after="0"/>
        <w:jc w:val="left"/>
        <w:rPr/>
      </w:pPr>
      <w:r>
        <w:rPr/>
      </w:r>
    </w:p>
    <w:p>
      <w:pPr>
        <w:pStyle w:val="TextBody"/>
        <w:bidi w:val="0"/>
        <w:spacing w:lineRule="auto" w:line="288" w:before="0" w:after="240"/>
        <w:jc w:val="left"/>
        <w:rPr/>
      </w:pPr>
      <w:r>
        <w:rPr>
          <w:color w:val="000000"/>
        </w:rPr>
        <w:t>        </w:t>
      </w:r>
      <w:r>
        <w:rPr>
          <w:rFonts w:ascii="Arial;sans-serif" w:hAnsi="Arial;sans-serif"/>
          <w:b w:val="false"/>
          <w:color w:val="000000"/>
          <w:sz w:val="24"/>
        </w:rPr>
        <w:t>(g)    [Intentionally Omitted</w:t>
      </w:r>
      <w:r>
        <w:rPr>
          <w:rFonts w:ascii="Arial;sans-serif" w:hAnsi="Arial;sans-serif"/>
          <w:b w:val="false"/>
          <w:color w:val="000000"/>
          <w:sz w:val="24"/>
          <w:u w:val="single"/>
        </w:rPr>
        <w:t>]</w:t>
      </w:r>
    </w:p>
    <w:p>
      <w:pPr>
        <w:pStyle w:val="TextBody"/>
        <w:bidi w:val="0"/>
        <w:spacing w:lineRule="auto" w:line="288" w:before="0" w:after="240"/>
        <w:jc w:val="left"/>
        <w:rPr/>
      </w:pPr>
      <w:r>
        <w:rPr>
          <w:color w:val="000000"/>
        </w:rPr>
        <w:t>        </w:t>
      </w:r>
      <w:r>
        <w:rPr>
          <w:rFonts w:ascii="Arial;sans-serif" w:hAnsi="Arial;sans-serif"/>
          <w:b w:val="false"/>
          <w:color w:val="000000"/>
          <w:sz w:val="24"/>
        </w:rPr>
        <w:t>(h)    </w:t>
      </w:r>
      <w:r>
        <w:rPr>
          <w:rFonts w:ascii="Arial;sans-serif" w:hAnsi="Arial;sans-serif"/>
          <w:b w:val="false"/>
          <w:i/>
          <w:color w:val="000000"/>
          <w:sz w:val="24"/>
        </w:rPr>
        <w:t>No Material Adverse Change.</w:t>
      </w:r>
      <w:r>
        <w:rPr>
          <w:color w:val="000000"/>
        </w:rPr>
        <w:t xml:space="preserve"> </w:t>
      </w:r>
      <w:r>
        <w:rPr>
          <w:rFonts w:ascii="Arial;sans-serif" w:hAnsi="Arial;sans-serif"/>
          <w:b w:val="false"/>
          <w:color w:val="000000"/>
          <w:sz w:val="24"/>
        </w:rPr>
        <w:t xml:space="preserve">Since the date of the most recent financial statements of the Company included or incorporated by reference in the Registration Statement, the Time of Sale Information and the Prospectus, (i) there has not been any material adverse change in the capital stock or long-term debt of the Company or any of its subsidiaries, or any extraordinary dividend or distribution of any kind declared, set aside for payment, paid or made by the Company on any class of capital stock, or any material adverse change, or any adverse development involving the Company or any of its subsidiaries that would reasonably be expected to result in a prospective material adverse change, in or affecting the business, properties, rights, assets, management, financial position or results of operations of the Company and its subsidiaries taken as a whole; (ii) neither the Company nor any of its subsidiaries has entered into any transaction or agreement that is material to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69950"/>
                <wp:effectExtent l="0" t="0" r="0" b="0"/>
                <wp:wrapNone/>
                <wp:docPr id="11" name="Frame11"/>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the Company and its subsidiaries taken as a whole or incurred any liability or obligation, direct or contingent, that is material to the Company and its subsidiaries taken as a whole; and (iii) neither the Company nor any of its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Time of Sale Information and the Prospectus.</w:t>
      </w:r>
    </w:p>
    <w:p>
      <w:pPr>
        <w:pStyle w:val="TextBody"/>
        <w:bidi w:val="0"/>
        <w:spacing w:lineRule="auto" w:line="288" w:before="0" w:after="0"/>
        <w:jc w:val="left"/>
        <w:rPr/>
      </w:pPr>
      <w:r>
        <w:rPr>
          <w:color w:val="000000"/>
        </w:rPr>
        <w:t>    </w:t>
      </w:r>
      <w:r>
        <w:rPr>
          <w:rFonts w:ascii="Arial;sans-serif" w:hAnsi="Arial;sans-serif"/>
          <w:b w:val="false"/>
          <w:color w:val="000000"/>
          <w:sz w:val="24"/>
        </w:rPr>
        <w:t>(i)    </w:t>
      </w:r>
      <w:r>
        <w:rPr>
          <w:rFonts w:ascii="Arial;sans-serif" w:hAnsi="Arial;sans-serif"/>
          <w:b w:val="false"/>
          <w:i/>
          <w:color w:val="000000"/>
          <w:sz w:val="24"/>
        </w:rPr>
        <w:t>Organization and Good Standing.</w:t>
      </w:r>
      <w:r>
        <w:rPr>
          <w:color w:val="000000"/>
        </w:rPr>
        <w:t xml:space="preserve"> </w:t>
      </w:r>
      <w:r>
        <w:rPr>
          <w:rFonts w:ascii="Arial;sans-serif" w:hAnsi="Arial;sans-serif"/>
          <w:b w:val="false"/>
          <w:color w:val="000000"/>
          <w:sz w:val="24"/>
        </w:rPr>
        <w:t>The Company and each subsidiary of the Company listed in Schedule 2 to this Agreement (the “</w:t>
      </w:r>
      <w:r>
        <w:rPr>
          <w:rFonts w:ascii="Arial;sans-serif" w:hAnsi="Arial;sans-serif"/>
          <w:b/>
          <w:color w:val="000000"/>
          <w:sz w:val="24"/>
        </w:rPr>
        <w:t>Significant Subsidiaries</w:t>
      </w:r>
      <w:r>
        <w:rPr>
          <w:color w:val="000000"/>
        </w:rPr>
        <w:t>”</w:t>
      </w:r>
      <w:r>
        <w:rPr>
          <w:rFonts w:ascii="Arial;sans-serif" w:hAnsi="Arial;sans-serif"/>
          <w:b w:val="false"/>
          <w:color w:val="000000"/>
          <w:sz w:val="24"/>
        </w:rPr>
        <w:t>) have been duly organized and are validly existing and in good standing under the laws of their respective jurisdictions of organization, are duly qualified to do business and are in good standing in each jurisdiction (to the extent the concept of good standing exists in such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have a material adverse effect on the business, properties, rights, assets, management, financial position, results of operations or prospects of the Company and its subsidiaries taken as a whole or on the performance by the Company of its obligations under the Securities (a “</w:t>
      </w:r>
      <w:r>
        <w:rPr>
          <w:rFonts w:ascii="Arial;sans-serif" w:hAnsi="Arial;sans-serif"/>
          <w:b/>
          <w:color w:val="000000"/>
          <w:sz w:val="24"/>
        </w:rPr>
        <w:t>Material Adverse Effect</w:t>
      </w:r>
      <w:r>
        <w:rPr>
          <w:color w:val="000000"/>
        </w:rPr>
        <w:t>”</w:t>
      </w:r>
      <w:r>
        <w:rPr>
          <w:rFonts w:ascii="Arial;sans-serif" w:hAnsi="Arial;sans-serif"/>
          <w:b w:val="false"/>
          <w:color w:val="000000"/>
          <w:sz w:val="24"/>
        </w:rPr>
        <w:t xml:space="preserve">). The subsidiaries listed in Schedule 2 to this Agreement are the only “significant subsidiaries” (as defined in Rule 1-02 (w) of Regulation S-X) of the Company. </w:t>
      </w:r>
    </w:p>
    <w:p>
      <w:pPr>
        <w:pStyle w:val="TextBody"/>
        <w:bidi w:val="0"/>
        <w:spacing w:before="0" w:after="0"/>
        <w:ind w:left="0" w:right="0" w:hanging="72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(j)    </w:t>
      </w:r>
      <w:r>
        <w:rPr>
          <w:rFonts w:ascii="Arial;sans-serif" w:hAnsi="Arial;sans-serif"/>
          <w:b w:val="false"/>
          <w:i/>
          <w:color w:val="000000"/>
          <w:sz w:val="24"/>
        </w:rPr>
        <w:t>Capitalization.</w:t>
      </w:r>
      <w:r>
        <w:rPr>
          <w:color w:val="000000"/>
        </w:rPr>
        <w:t xml:space="preserve"> </w:t>
      </w:r>
      <w:r>
        <w:rPr>
          <w:rFonts w:ascii="Arial;sans-serif" w:hAnsi="Arial;sans-serif"/>
          <w:b w:val="false"/>
          <w:color w:val="000000"/>
          <w:sz w:val="24"/>
        </w:rPr>
        <w:t xml:space="preserve">The Company has the capitalization as set forth in the Registration Statement, the Time of Sale Information and the Prospectus under the heading “Capitalization”; and all the outstanding shares of capital stock or other equity interests of the Company and each Significant Subsidiary will have been duly and validly authorized and issued, will be fully paid and non-assessable and will be owned directly or indirectly by the Company, free and clear of any lien, charge, encumbrance, security interest, restriction on voting or transfer or any other claim of any third party. </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(k)    </w:t>
      </w:r>
      <w:r>
        <w:rPr>
          <w:rFonts w:ascii="Arial;sans-serif" w:hAnsi="Arial;sans-serif"/>
          <w:b w:val="false"/>
          <w:i/>
          <w:color w:val="000000"/>
          <w:sz w:val="24"/>
        </w:rPr>
        <w:t>Due Authorization.</w:t>
      </w:r>
      <w:r>
        <w:rPr>
          <w:color w:val="000000"/>
        </w:rPr>
        <w:t xml:space="preserve"> </w:t>
      </w:r>
      <w:r>
        <w:rPr>
          <w:rFonts w:ascii="Arial;sans-serif" w:hAnsi="Arial;sans-serif"/>
          <w:b w:val="false"/>
          <w:color w:val="000000"/>
          <w:sz w:val="24"/>
        </w:rPr>
        <w:t>The Company has full right, power and authority to execute and deliver this Agreement, the Securities and the Indenture (collectively, the “</w:t>
      </w:r>
      <w:r>
        <w:rPr>
          <w:rFonts w:ascii="Arial;sans-serif" w:hAnsi="Arial;sans-serif"/>
          <w:b/>
          <w:color w:val="000000"/>
          <w:sz w:val="24"/>
        </w:rPr>
        <w:t>Transaction Documents</w:t>
      </w:r>
      <w:r>
        <w:rPr>
          <w:color w:val="000000"/>
        </w:rPr>
        <w:t>”</w:t>
      </w:r>
      <w:r>
        <w:rPr>
          <w:rFonts w:ascii="Arial;sans-serif" w:hAnsi="Arial;sans-serif"/>
          <w:b w:val="false"/>
          <w:color w:val="000000"/>
          <w:sz w:val="24"/>
        </w:rPr>
        <w:t xml:space="preserve">), and to perform its obligations hereunder and thereunder; and all action required to be taken for the due and proper authorization, execution and delivery of each of the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69950"/>
                <wp:effectExtent l="0" t="0" r="0" b="0"/>
                <wp:wrapNone/>
                <wp:docPr id="12" name="Frame12"/>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Documents and the consummation of the transactions contemplated thereby has been duly and validly taken.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(l)    </w:t>
      </w:r>
      <w:r>
        <w:rPr>
          <w:rFonts w:ascii="Arial;sans-serif" w:hAnsi="Arial;sans-serif"/>
          <w:b w:val="false"/>
          <w:i/>
          <w:color w:val="000000"/>
          <w:sz w:val="24"/>
        </w:rPr>
        <w:t>The Indenture</w:t>
      </w:r>
      <w:r>
        <w:rPr>
          <w:rFonts w:ascii="Arial;sans-serif" w:hAnsi="Arial;sans-serif"/>
          <w:b w:val="false"/>
          <w:color w:val="000000"/>
          <w:sz w:val="24"/>
        </w:rPr>
        <w:t>. The Base Indenture and the First Supplemental Indenture have been duly authorized, executed and delivered and the Sixth Supplemental Indenture has been duly authorized by the Company. The Base Indenture upon effectiveness of the Registration Statement was duly qualified under the Trust Indenture Act and the Indenture, when the Sixth Supplemental Indenture has been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reorganization, moratorium, fraudulent conveyance or similar laws affecting the enforcement of creditors’ rights generally or by general principles of equity (regardless of whether enforceability is considered in a proceeding at law or in equity) (collectively, the “</w:t>
      </w:r>
      <w:r>
        <w:rPr>
          <w:rFonts w:ascii="Arial;sans-serif" w:hAnsi="Arial;sans-serif"/>
          <w:b/>
          <w:color w:val="000000"/>
          <w:sz w:val="24"/>
        </w:rPr>
        <w:t>Enforceability Exceptions</w:t>
      </w:r>
      <w:r>
        <w:rPr>
          <w:color w:val="000000"/>
        </w:rPr>
        <w:t>”</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(m)    </w:t>
      </w:r>
      <w:r>
        <w:rPr>
          <w:rFonts w:ascii="Arial;sans-serif" w:hAnsi="Arial;sans-serif"/>
          <w:b w:val="false"/>
          <w:i/>
          <w:color w:val="000000"/>
          <w:sz w:val="24"/>
        </w:rPr>
        <w:t>The Securities</w:t>
      </w:r>
      <w:r>
        <w:rPr>
          <w:rFonts w:ascii="Arial;sans-serif" w:hAnsi="Arial;sans-serif"/>
          <w:b w:val="false"/>
          <w:color w:val="000000"/>
          <w:sz w:val="24"/>
        </w:rPr>
        <w:t>. The Securities have been duly authorized by the Company, and when duly executed, authenticated, issued and delivered in accordance with the provisions of the Indenture, and delivered to and paid for by the Underwriters in accordance with the terms of this Agreement, will be valid and legally binding obligations of the Company enforceable against the Company in accordance with their terms, subject to the Enforceability Exceptions, and will be entitled to the benefits of the Indenture.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(n)    </w:t>
      </w:r>
      <w:r>
        <w:rPr>
          <w:rFonts w:ascii="Arial;sans-serif" w:hAnsi="Arial;sans-serif"/>
          <w:b w:val="false"/>
          <w:i/>
          <w:color w:val="000000"/>
          <w:sz w:val="24"/>
        </w:rPr>
        <w:t xml:space="preserve">Underwriting Agreement. </w:t>
      </w:r>
      <w:r>
        <w:rPr>
          <w:rFonts w:ascii="Arial;sans-serif" w:hAnsi="Arial;sans-serif"/>
          <w:b w:val="false"/>
          <w:color w:val="000000"/>
          <w:sz w:val="24"/>
        </w:rPr>
        <w:t xml:space="preserve">This Agreement has been duly authorized, executed and delivered by the Company.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(o)    </w:t>
      </w:r>
      <w:r>
        <w:rPr>
          <w:rFonts w:ascii="Arial;sans-serif" w:hAnsi="Arial;sans-serif"/>
          <w:b w:val="false"/>
          <w:i/>
          <w:color w:val="000000"/>
          <w:sz w:val="24"/>
        </w:rPr>
        <w:t>Descriptions of the Transaction Documents</w:t>
      </w:r>
      <w:r>
        <w:rPr>
          <w:rFonts w:ascii="Arial;sans-serif" w:hAnsi="Arial;sans-serif"/>
          <w:b w:val="false"/>
          <w:color w:val="000000"/>
          <w:sz w:val="24"/>
        </w:rPr>
        <w:t>. Each Transaction Document conforms or will conform in all material respects to the description thereof contained in the Registration Statement, the Time of Sale Information and the Prospectus.</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(p)    </w:t>
      </w:r>
      <w:r>
        <w:rPr>
          <w:rFonts w:ascii="Arial;sans-serif" w:hAnsi="Arial;sans-serif"/>
          <w:b w:val="false"/>
          <w:i/>
          <w:color w:val="000000"/>
          <w:sz w:val="24"/>
        </w:rPr>
        <w:t>No Violation or Default.</w:t>
      </w:r>
      <w:r>
        <w:rPr>
          <w:color w:val="000000"/>
        </w:rPr>
        <w:t xml:space="preserve"> </w:t>
      </w:r>
      <w:r>
        <w:rPr>
          <w:rFonts w:ascii="Arial;sans-serif" w:hAnsi="Arial;sans-serif"/>
          <w:b w:val="false"/>
          <w:color w:val="000000"/>
          <w:sz w:val="24"/>
        </w:rPr>
        <w:t xml:space="preserve">Neither the Company nor any Significant Subsidiary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Significant Subsidiary is a party or by which the Company or any Significant Subsidiary is bound or to which any property, right or asset of the Company or any Subsidiary is subject; or (iii) in violation of any law or statute or any judgment, order, rule or regulation of any court or arbitrator or governmental or regulatory authority, except, in the case of clauses (ii) and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69950"/>
                <wp:effectExtent l="0" t="0" r="0" b="0"/>
                <wp:wrapNone/>
                <wp:docPr id="13" name="Frame13"/>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9</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(iii) above, for any such default or violation that would not, individually or in the aggregate, have a Material Adverse Effect.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(q)    </w:t>
      </w:r>
      <w:r>
        <w:rPr>
          <w:rFonts w:ascii="Arial;sans-serif" w:hAnsi="Arial;sans-serif"/>
          <w:b w:val="false"/>
          <w:i/>
          <w:color w:val="000000"/>
          <w:sz w:val="24"/>
        </w:rPr>
        <w:t xml:space="preserve">No Conflicts. </w:t>
      </w:r>
      <w:r>
        <w:rPr>
          <w:rFonts w:ascii="Arial;sans-serif" w:hAnsi="Arial;sans-serif"/>
          <w:b w:val="false"/>
          <w:color w:val="000000"/>
          <w:sz w:val="24"/>
        </w:rPr>
        <w:t>The execution, delivery and performance by the Company of each of the Transaction Documents to which it is or will be a party, the issuance and sale of the Securities and compliance by the Company with the terms thereof and the consummation of the transactions contemplated by the Transaction Documents will not (i) conflict with or result in a breach or violation of any of the terms or provisions of, or constitute a default under, or result in the creation or imposition of any lien, charge or encumbrance upon any property, right or asset of the Company or any of the Significant Subsidiaries pursuant to, any indenture, mortgage, deed of trust, loan agreement or other agreement or instrument to which the Company or any Significant Subsidiary is a party or by which the Company or any Significant Subsidiary is bound or to which any property, right or asset of the Company or any Significant Subsidiary is subject, (ii) result in any violation of the provisions of the charter or by-laws or similar organizational documents of the Company or any Significant Subsidiary,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(r)    </w:t>
      </w:r>
      <w:r>
        <w:rPr>
          <w:rFonts w:ascii="Arial;sans-serif" w:hAnsi="Arial;sans-serif"/>
          <w:b w:val="false"/>
          <w:i/>
          <w:color w:val="000000"/>
          <w:sz w:val="24"/>
        </w:rPr>
        <w:t>No Consents</w:t>
      </w:r>
      <w:r>
        <w:rPr>
          <w:rFonts w:ascii="Arial;sans-serif" w:hAnsi="Arial;sans-serif"/>
          <w:b w:val="false"/>
          <w:color w:val="000000"/>
          <w:sz w:val="24"/>
        </w:rPr>
        <w:t>. No consent, approval, authorization, order, registration or qualification of or with any court or arbitrator or governmental or regulatory authority is required for the execution, delivery and performance by the Company of each of the Transaction Documents, the issuance and sale of the Securities and compliance by the Company with the terms thereof and the consummation of the transactions contemplated by the Transaction Documents, except for the registration of the Securities under the Securities Act and the Exchange Act, the qualification of the Indenture under the Trust Indenture Act and such consents, approvals, authorizations, orders and registrations or qualifications as may be required under applicable state securities laws in connection with the purchase and distribution of the Securities by the Underwriters.</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(s)    </w:t>
      </w:r>
      <w:r>
        <w:rPr>
          <w:rFonts w:ascii="Arial;sans-serif" w:hAnsi="Arial;sans-serif"/>
          <w:b w:val="false"/>
          <w:i/>
          <w:color w:val="000000"/>
          <w:sz w:val="24"/>
        </w:rPr>
        <w:t>Legal Proceedings.</w:t>
      </w:r>
      <w:r>
        <w:rPr>
          <w:color w:val="000000"/>
        </w:rPr>
        <w:t xml:space="preserve"> </w:t>
      </w:r>
      <w:r>
        <w:rPr>
          <w:rFonts w:ascii="Arial;sans-serif" w:hAnsi="Arial;sans-serif"/>
          <w:b w:val="false"/>
          <w:color w:val="000000"/>
          <w:sz w:val="24"/>
        </w:rPr>
        <w:t>Except as described in the Registration Statement, the Time of Sale Information and the Prospectus, there are no legal, governmental or regulatory investigations, actions, demands, claims, suits, arbitrations, inquiries or proceedings (“</w:t>
      </w:r>
      <w:r>
        <w:rPr>
          <w:rFonts w:ascii="Arial;sans-serif" w:hAnsi="Arial;sans-serif"/>
          <w:b/>
          <w:color w:val="000000"/>
          <w:sz w:val="24"/>
        </w:rPr>
        <w:t>Actions</w:t>
      </w:r>
      <w:r>
        <w:rPr>
          <w:color w:val="000000"/>
        </w:rPr>
        <w:t>”</w:t>
      </w:r>
      <w:r>
        <w:rPr>
          <w:rFonts w:ascii="Arial;sans-serif" w:hAnsi="Arial;sans-serif"/>
          <w:b w:val="false"/>
          <w:color w:val="000000"/>
          <w:sz w:val="24"/>
        </w:rPr>
        <w:t xml:space="preserve">) pending to which the Company or any of its subsidiaries is or may be a party or to which any property, right or asset of the Company or any of its subsidiaries is or may be the subject and no Actions are threatened in writing or, to the knowledge of the Company, contemplated by any governmental or regulatory authority or by others, in each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69950"/>
                <wp:effectExtent l="0" t="0" r="0" b="0"/>
                <wp:wrapNone/>
                <wp:docPr id="14" name="Frame14"/>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case, that, individually or in the aggregate, if determined adversely to the Company or any of its subsidiaries, would reasonably be expected to have a Material Adverse Effect; and (i) there are no current or pending Actions that are required under the Securities Act to be described in the Registration Statement or the Prospectus that are not so described in the Registration Statement, the Time of Sale Information and the Prospectus and (ii) there are no contracts or other documents that are required under the Securities Act to be filed as exhibits to the Registration Statement or described in the Registration Statement and the Prospectus that are not so filed as exhibits to the Registration Statement or so described in the Registration Statement, the Time of Sale Information and the Prospectus.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(t)    </w:t>
      </w:r>
      <w:r>
        <w:rPr>
          <w:rFonts w:ascii="Arial;sans-serif" w:hAnsi="Arial;sans-serif"/>
          <w:b w:val="false"/>
          <w:i/>
          <w:color w:val="000000"/>
          <w:sz w:val="24"/>
        </w:rPr>
        <w:t>Independent Accountants.</w:t>
      </w:r>
      <w:r>
        <w:rPr>
          <w:color w:val="000000"/>
        </w:rPr>
        <w:t xml:space="preserve"> </w:t>
      </w:r>
      <w:r>
        <w:rPr>
          <w:rFonts w:ascii="Arial;sans-serif" w:hAnsi="Arial;sans-serif"/>
          <w:b w:val="false"/>
          <w:color w:val="000000"/>
          <w:sz w:val="24"/>
        </w:rPr>
        <w:t>Deloitte &amp; Touche LLP, who have audited certain financial statements of the Company and its subsidiaries, is an independent registered public accounting firm within the applicable rules and regulations adopted by the Commission and the Public Company Accounting Oversight Board (United States) and as required by the Securities Act.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(u)    </w:t>
      </w:r>
      <w:r>
        <w:rPr>
          <w:rFonts w:ascii="Arial;sans-serif" w:hAnsi="Arial;sans-serif"/>
          <w:b w:val="false"/>
          <w:i/>
          <w:color w:val="000000"/>
          <w:sz w:val="24"/>
        </w:rPr>
        <w:t>Title to Real and Personal Property.</w:t>
      </w:r>
      <w:r>
        <w:rPr>
          <w:color w:val="000000"/>
        </w:rPr>
        <w:t xml:space="preserve"> </w:t>
      </w:r>
      <w:r>
        <w:rPr>
          <w:rFonts w:ascii="Arial;sans-serif" w:hAnsi="Arial;sans-serif"/>
          <w:b w:val="false"/>
          <w:color w:val="000000"/>
          <w:sz w:val="24"/>
        </w:rPr>
        <w:t xml:space="preserve">The Company and the Significant Subsidiaries have good and marketable title in fee simple to, or have valid rights to lease or otherwise use, all items of real and personal property that are material to the respective businesses of the Company and the Significant Subsidiaries, in each case free and clear of all liens, encumbrances, claims and defects and imperfections of title except those that (i) do not materially interfere with the use made and proposed to be made of such property by the Company and the Significant Subsidiaries or (ii) would not reasonably be expected, individually or in the aggregate, to have a Material Adverse Effect.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(v)    </w:t>
      </w:r>
      <w:r>
        <w:rPr>
          <w:rFonts w:ascii="Arial;sans-serif" w:hAnsi="Arial;sans-serif"/>
          <w:b w:val="false"/>
          <w:i/>
          <w:color w:val="000000"/>
          <w:sz w:val="24"/>
        </w:rPr>
        <w:t>Title to Intellectual Property.</w:t>
      </w:r>
      <w:r>
        <w:rPr>
          <w:color w:val="000000"/>
        </w:rPr>
        <w:t xml:space="preserve"> </w:t>
      </w:r>
      <w:r>
        <w:rPr>
          <w:rFonts w:ascii="Arial;sans-serif" w:hAnsi="Arial;sans-serif"/>
          <w:b w:val="false"/>
          <w:color w:val="000000"/>
          <w:sz w:val="24"/>
        </w:rPr>
        <w:t>The Company and its subsidiaries own or possess adequate rights to use all material patents, patent applications, trademarks, service marks, trade names, trademark registrations, service mark registrations, copyrights, licenses and know-how (including trade secrets and other unpatented and/or unpatentable proprietary or confidential information, systems or procedures) necessary for the conduct of their businesses; and to their knowledge, the conduct of their businesses does not conflict in any material respect with any such rights of others, and the Company and its subsidiaries have not received any notice of any claim of infringement of or conflict with any such rights of others</w:t>
      </w:r>
      <w:r>
        <w:rPr>
          <w:rFonts w:ascii="Arial;sans-serif" w:hAnsi="Arial;sans-serif"/>
          <w:b w:val="false"/>
          <w:color w:val="000000"/>
          <w:sz w:val="20"/>
        </w:rPr>
        <w:t xml:space="preserve">; </w:t>
      </w:r>
      <w:r>
        <w:rPr>
          <w:rFonts w:ascii="Arial;sans-serif" w:hAnsi="Arial;sans-serif"/>
          <w:b w:val="false"/>
          <w:color w:val="000000"/>
          <w:sz w:val="24"/>
        </w:rPr>
        <w:t xml:space="preserve">except as would not reasonably be expected, individually or in the aggregate, to have a Material Adverse Effect. </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(w)    </w:t>
      </w:r>
      <w:r>
        <w:rPr>
          <w:rFonts w:ascii="Arial;sans-serif" w:hAnsi="Arial;sans-serif"/>
          <w:b w:val="false"/>
          <w:i/>
          <w:color w:val="000000"/>
          <w:sz w:val="24"/>
        </w:rPr>
        <w:t>No Undisclosed Relationships.</w:t>
      </w:r>
      <w:r>
        <w:rPr>
          <w:color w:val="000000"/>
        </w:rPr>
        <w:t xml:space="preserve"> </w:t>
      </w:r>
      <w:r>
        <w:rPr>
          <w:rFonts w:ascii="Arial;sans-serif" w:hAnsi="Arial;sans-serif"/>
          <w:b w:val="false"/>
          <w:color w:val="000000"/>
          <w:sz w:val="24"/>
        </w:rPr>
        <w:t xml:space="preserve">No relationship, direct or indirect, exists between or among the Company or any of its subsidiaries, on the one hand, and the directors, officers, stockholders or other affiliates of the Company or any of its subsidiaries, on the other, that is required by the Securities Act to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69950"/>
                <wp:effectExtent l="0" t="0" r="0" b="0"/>
                <wp:wrapNone/>
                <wp:docPr id="15" name="Frame15"/>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be described in the Registration Statement and the Prospectus and that is not so described in such documents and in the Time of Sale Information.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(x)    </w:t>
      </w:r>
      <w:r>
        <w:rPr>
          <w:rFonts w:ascii="Arial;sans-serif" w:hAnsi="Arial;sans-serif"/>
          <w:b w:val="false"/>
          <w:i/>
          <w:color w:val="000000"/>
          <w:sz w:val="24"/>
        </w:rPr>
        <w:t>Investment Company Act.</w:t>
      </w:r>
      <w:r>
        <w:rPr>
          <w:color w:val="000000"/>
        </w:rPr>
        <w:t xml:space="preserve"> </w:t>
      </w:r>
      <w:r>
        <w:rPr>
          <w:rFonts w:ascii="Arial;sans-serif" w:hAnsi="Arial;sans-serif"/>
          <w:b w:val="false"/>
          <w:color w:val="000000"/>
          <w:sz w:val="24"/>
        </w:rPr>
        <w:t>Neither the Company nor any of its subsidiaries is, and after giving effect to the offering and sale of the Securities and the application of the proceeds thereof as described in the Registration Statement, the Time of Sale Information and the Prospectus, neither the Company nor any of its subsidiaries will be an “investment company” or an entity “controlled” by an “investment company” within the meaning of the Investment Company Act of 1940, as amended, and the rules and regulations of the Commission thereunder (collectively, the “</w:t>
      </w:r>
      <w:r>
        <w:rPr>
          <w:rFonts w:ascii="Arial;sans-serif" w:hAnsi="Arial;sans-serif"/>
          <w:b/>
          <w:color w:val="000000"/>
          <w:sz w:val="24"/>
        </w:rPr>
        <w:t>Investment Company Act</w:t>
      </w:r>
      <w:r>
        <w:rPr>
          <w:color w:val="000000"/>
        </w:rPr>
        <w:t>”</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(y)    </w:t>
      </w:r>
      <w:r>
        <w:rPr>
          <w:rFonts w:ascii="Arial;sans-serif" w:hAnsi="Arial;sans-serif"/>
          <w:b w:val="false"/>
          <w:i/>
          <w:color w:val="000000"/>
          <w:sz w:val="24"/>
        </w:rPr>
        <w:t>Taxes.</w:t>
      </w:r>
      <w:r>
        <w:rPr>
          <w:color w:val="000000"/>
        </w:rPr>
        <w:t xml:space="preserve"> </w:t>
      </w:r>
      <w:r>
        <w:rPr>
          <w:rFonts w:ascii="Arial;sans-serif" w:hAnsi="Arial;sans-serif"/>
          <w:b w:val="false"/>
          <w:color w:val="000000"/>
          <w:sz w:val="24"/>
        </w:rPr>
        <w:t>The Company and its subsidiaries have paid all federal, state, local and foreign taxes (other than those that are being contested in good faith and for which adequate reserves have been established in accordance with GAAP) and filed (or obtained extensions with respect to) all tax returns required to be paid or filed through the date hereof except as would not reasonably be expected, individually or in the aggregate, to have a Material Adverse Effect; and except as otherwise disclosed in the Registration Statement, the Time of Sale Information and the Prospectus, there is no tax deficiency that has been, or would reasonably be expected to be, asserted against the Company or any of its subsidiaries or any of their respective properties or assets, in each case, except as would not reasonably be expected, individually or in the aggregate, to have a Material Adverse Effect.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(z)    </w:t>
      </w:r>
      <w:r>
        <w:rPr>
          <w:rFonts w:ascii="Arial;sans-serif" w:hAnsi="Arial;sans-serif"/>
          <w:b w:val="false"/>
          <w:i/>
          <w:color w:val="000000"/>
          <w:sz w:val="24"/>
        </w:rPr>
        <w:t>Licenses and Permits.</w:t>
      </w:r>
      <w:r>
        <w:rPr>
          <w:color w:val="000000"/>
        </w:rPr>
        <w:t xml:space="preserve"> </w:t>
      </w:r>
      <w:r>
        <w:rPr>
          <w:rFonts w:ascii="Arial;sans-serif" w:hAnsi="Arial;sans-serif"/>
          <w:b w:val="false"/>
          <w:color w:val="000000"/>
          <w:sz w:val="24"/>
        </w:rPr>
        <w:t>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the Time of Sale Information and the Prospectus, except where the failure to possess or make the same would not, individually or in the aggregate, have a Material Adverse Effect; and except as described in the Registration Statement, the Time of Sale Information and the Prospectus, neither the Company nor any of its subsidiaries has received written notice of any revocation or modification of any such license, sub-license, certificate, permit or authorization or has any reason to believe that any such license, sub-license, certificate, permit or authorization will not be renewed in the ordinary course, in each case, except as would not reasonably be expected, individually or in the aggregate, to have a Material Adverse Effect.</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(aa)    </w:t>
      </w:r>
      <w:r>
        <w:rPr>
          <w:rFonts w:ascii="Arial;sans-serif" w:hAnsi="Arial;sans-serif"/>
          <w:b w:val="false"/>
          <w:i/>
          <w:color w:val="000000"/>
          <w:sz w:val="24"/>
        </w:rPr>
        <w:t>Compliance With Environmental Laws.</w:t>
      </w:r>
      <w:r>
        <w:rPr>
          <w:color w:val="000000"/>
        </w:rPr>
        <w:t xml:space="preserve"> </w:t>
      </w:r>
      <w:r>
        <w:rPr>
          <w:rFonts w:ascii="Arial;sans-serif" w:hAnsi="Arial;sans-serif"/>
          <w:b w:val="false"/>
          <w:color w:val="000000"/>
          <w:sz w:val="24"/>
        </w:rPr>
        <w:t xml:space="preserve">Except as described in the Registration Statement, the Time of Sale Information and the Prospectus: (i) the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69950"/>
                <wp:effectExtent l="0" t="0" r="0" b="0"/>
                <wp:wrapNone/>
                <wp:docPr id="16" name="Frame16"/>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4"/>
        </w:rPr>
        <w:t>Company and its subsidiaries (x) are, and at all prior times were, in compliance with any and all applicable federal, state, local and foreign laws, rules, regulations, requirements, decisions and orders relating to the protection of the environment, natural resources or hazardous or toxic substances or wastes, pollutants or contaminants, including exposure thereto (collectively, “</w:t>
      </w:r>
      <w:r>
        <w:rPr>
          <w:rFonts w:ascii="Arial;sans-serif" w:hAnsi="Arial;sans-serif"/>
          <w:b/>
          <w:color w:val="000000"/>
          <w:sz w:val="24"/>
        </w:rPr>
        <w:t>Environmental Laws</w:t>
      </w:r>
      <w:r>
        <w:rPr>
          <w:color w:val="000000"/>
        </w:rPr>
        <w:t>”</w:t>
      </w:r>
      <w:r>
        <w:rPr>
          <w:rFonts w:ascii="Arial;sans-serif" w:hAnsi="Arial;sans-serif"/>
          <w:b w:val="false"/>
          <w:color w:val="000000"/>
          <w:sz w:val="24"/>
        </w:rPr>
        <w:t>), (y) have received and are in compliance with all permits, licenses, certificates or other authorizations or approvals required of them under applicable Environmental Laws to conduct their respective businesses, and (z) have not received written notice of any actual or potential violation or liability under or relating to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to the knowledge of the Company there are no costs, liabilities or obligations associated with Environmental Laws or concerning hazardous or toxic substances or wastes, pollutants or contaminants of or relating to the Company or its subsidiaries, except in the case of each of (i) and (ii) herein, for any such failure to comply, failure to receive required permits, licenses or approvals, receipt of written notice, event, condition, cost, liability or obligation as would not, individually or in the aggregate, have a Material Adverse Effect; and (iii) (x) there are no proceedings that are pending, or that are known by the Company to be contemplated, against the Company or any of its subsidiaries under any Environmental Laws in which a governmental entity is also a party, other than such proceedings regarding which it is reasonably believed no monetary sanctions on the Company or its subsidiaries of $300,000 or more will be imposed, (y) the Company and its subsidiaries are not aware of any issues regarding compliance with Environmental Laws or of liabilities or other obligations either under Environmental Laws or concerning releases or discharges of hazardous or toxic substances or wastes, pollutants or contaminants that in each case could reasonably be expected to have a material effect on the capital expenditures, earnings or competitive position of the Company and its subsidiaries, and (z) none of the Company and its subsidiaries anticipates material capital expenditures relating to any Environmental Laws.</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(bb)    </w:t>
      </w:r>
      <w:r>
        <w:rPr>
          <w:rFonts w:ascii="Arial;sans-serif" w:hAnsi="Arial;sans-serif"/>
          <w:b w:val="false"/>
          <w:i/>
          <w:color w:val="000000"/>
          <w:sz w:val="24"/>
        </w:rPr>
        <w:t>Disclosure Controls</w:t>
      </w:r>
      <w:r>
        <w:rPr>
          <w:rFonts w:ascii="Arial;sans-serif" w:hAnsi="Arial;sans-serif"/>
          <w:b w:val="false"/>
          <w:color w:val="000000"/>
          <w:sz w:val="24"/>
        </w:rPr>
        <w:t xml:space="preserve">. The Company and its subsidiaries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69950"/>
                <wp:effectExtent l="0" t="0" r="0" b="0"/>
                <wp:wrapNone/>
                <wp:docPr id="17" name="Frame17"/>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have carried out evaluations of the effectiveness of their disclosure controls and procedures as required by Rule 13a-15 of the Exchange Act.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(cc)</w:t>
      </w:r>
      <w:r>
        <w:rPr>
          <w:color w:val="000000"/>
        </w:rPr>
        <w:t>    </w:t>
      </w:r>
      <w:r>
        <w:rPr>
          <w:rFonts w:ascii="Arial;sans-serif" w:hAnsi="Arial;sans-serif"/>
          <w:b w:val="false"/>
          <w:i/>
          <w:color w:val="000000"/>
          <w:sz w:val="24"/>
        </w:rPr>
        <w:t xml:space="preserve">Accounting Controls of Company. </w:t>
      </w:r>
      <w:r>
        <w:rPr>
          <w:rFonts w:ascii="Arial;sans-serif" w:hAnsi="Arial;sans-serif"/>
          <w:b w:val="false"/>
          <w:color w:val="000000"/>
          <w:sz w:val="24"/>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Time of Sale Information is prepared in accordance with the Commission’s rules and guidelines applicable thereto. Except as disclosed in the Registration Statement, the Time of Sale Information and the Prospectus, there are no material weaknesses in the Company’s internal controls.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(dd)    </w:t>
      </w:r>
      <w:r>
        <w:rPr>
          <w:rFonts w:ascii="Arial;sans-serif" w:hAnsi="Arial;sans-serif"/>
          <w:b w:val="false"/>
          <w:i/>
          <w:color w:val="000000"/>
          <w:sz w:val="24"/>
        </w:rPr>
        <w:t xml:space="preserve">Insurance. </w:t>
      </w:r>
      <w:r>
        <w:rPr>
          <w:rFonts w:ascii="Arial;sans-serif" w:hAnsi="Arial;sans-serif"/>
          <w:b w:val="false"/>
          <w:color w:val="000000"/>
          <w:sz w:val="24"/>
        </w:rPr>
        <w:t>The Company and its subsidiaries have insurance covering their respective properties, operations, personnel and businesses, including business interruption insurance, which insurance is in amounts and insures against such losses and risks as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in each case, except as would not reasonably be expected, individually or in the aggregate, to have a Material Adverse Effect.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(ee)    [Intentionally Omitted</w:t>
      </w:r>
      <w:r>
        <w:rPr>
          <w:rFonts w:ascii="Arial;sans-serif" w:hAnsi="Arial;sans-serif"/>
          <w:b w:val="false"/>
          <w:color w:val="000000"/>
          <w:sz w:val="24"/>
          <w:u w:val="single"/>
        </w:rPr>
        <w:t>]</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69950"/>
                <wp:effectExtent l="0" t="0" r="0" b="0"/>
                <wp:wrapNone/>
                <wp:docPr id="18" name="Frame18"/>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pPr>
      <w:r>
        <w:rPr>
          <w:color w:val="000000"/>
        </w:rPr>
        <w:t>    </w:t>
      </w:r>
      <w:r>
        <w:rPr>
          <w:rFonts w:ascii="Arial;sans-serif" w:hAnsi="Arial;sans-serif"/>
          <w:b w:val="false"/>
          <w:color w:val="000000"/>
          <w:sz w:val="24"/>
        </w:rPr>
        <w:t>(ff)    </w:t>
      </w:r>
      <w:r>
        <w:rPr>
          <w:rFonts w:ascii="Arial;sans-serif" w:hAnsi="Arial;sans-serif"/>
          <w:b w:val="false"/>
          <w:i/>
          <w:color w:val="000000"/>
          <w:sz w:val="24"/>
        </w:rPr>
        <w:t>No Unlawful Payments.</w:t>
      </w:r>
      <w:r>
        <w:rPr>
          <w:color w:val="000000"/>
        </w:rPr>
        <w:t xml:space="preserve"> </w:t>
      </w:r>
      <w:r>
        <w:rPr>
          <w:rFonts w:ascii="Arial;sans-serif" w:hAnsi="Arial;sans-serif"/>
          <w:b w:val="false"/>
          <w:color w:val="000000"/>
          <w:sz w:val="24"/>
        </w:rPr>
        <w:t>Neither the Company nor any of its subsidiaries nor, to the best knowledge of the Company, any director,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or the U.K. Bribery Act 2010; or (iv) made any bribe, rebate, payoff, influence payment, kickback or other unlawful payment, except, in each case, as would not reasonably be expected, individually or in the aggregate, to have a Material Adverse Effect.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(gg)    </w:t>
      </w:r>
      <w:r>
        <w:rPr>
          <w:rFonts w:ascii="Arial;sans-serif" w:hAnsi="Arial;sans-serif"/>
          <w:b w:val="false"/>
          <w:i/>
          <w:color w:val="000000"/>
          <w:sz w:val="24"/>
        </w:rPr>
        <w:t>Compliance with Anti-Money Laundering Laws</w:t>
      </w:r>
      <w:r>
        <w:rPr>
          <w:rFonts w:ascii="Arial;sans-serif" w:hAnsi="Arial;sans-serif"/>
          <w:b w:val="false"/>
          <w:color w:val="000000"/>
          <w:sz w:val="24"/>
        </w:rPr>
        <w:t>. The operations of the Company and its subsidiaries are and have been conducted at all times in all material respects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sans-serif" w:hAnsi="Arial;sans-serif"/>
          <w:b/>
          <w:color w:val="000000"/>
          <w:sz w:val="24"/>
        </w:rPr>
        <w:t>Anti-Money Laundering Laws</w:t>
      </w:r>
      <w:r>
        <w:rPr>
          <w:color w:val="000000"/>
        </w:rPr>
        <w:t>”</w:t>
      </w:r>
      <w:r>
        <w:rPr>
          <w:rFonts w:ascii="Arial;sans-serif" w:hAnsi="Arial;sans-serif"/>
          <w:b w:val="false"/>
          <w:color w:val="000000"/>
          <w:sz w:val="24"/>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jc w:val="left"/>
        <w:rPr/>
      </w:pPr>
      <w:r>
        <w:rPr/>
      </w:r>
    </w:p>
    <w:p>
      <w:pPr>
        <w:pStyle w:val="TextBody"/>
        <w:bidi w:val="0"/>
        <w:spacing w:lineRule="auto" w:line="288" w:before="0" w:after="240"/>
        <w:jc w:val="left"/>
        <w:rPr/>
      </w:pPr>
      <w:r>
        <w:rPr>
          <w:color w:val="000000"/>
        </w:rPr>
        <w:t>    </w:t>
      </w:r>
      <w:r>
        <w:rPr>
          <w:rFonts w:ascii="Arial;sans-serif" w:hAnsi="Arial;sans-serif"/>
          <w:b w:val="false"/>
          <w:color w:val="000000"/>
          <w:sz w:val="24"/>
        </w:rPr>
        <w:t>(hh)    </w:t>
      </w:r>
      <w:r>
        <w:rPr>
          <w:rFonts w:ascii="Arial;sans-serif" w:hAnsi="Arial;sans-serif"/>
          <w:b w:val="false"/>
          <w:i/>
          <w:color w:val="000000"/>
          <w:sz w:val="24"/>
        </w:rPr>
        <w:t>Compliance with OFAC</w:t>
      </w:r>
      <w:r>
        <w:rPr>
          <w:rFonts w:ascii="Arial;sans-serif" w:hAnsi="Arial;sans-serif"/>
          <w:b w:val="false"/>
          <w:color w:val="000000"/>
          <w:sz w:val="24"/>
        </w:rPr>
        <w:t>. Neither the Company nor any of its subsidiaries or, to the knowledge of the Company, any director, officer, agent, employee or affiliate of the Company or any of its subsidiaries is currently subject to any sanctions administered by the Office of Foreign Assets Control of the U.S. Department of the Treasury (“</w:t>
      </w:r>
      <w:r>
        <w:rPr>
          <w:rFonts w:ascii="Arial;sans-serif" w:hAnsi="Arial;sans-serif"/>
          <w:b/>
          <w:color w:val="000000"/>
          <w:sz w:val="24"/>
        </w:rPr>
        <w:t>OFAC</w:t>
      </w:r>
      <w:r>
        <w:rPr>
          <w:color w:val="000000"/>
        </w:rPr>
        <w:t>”</w:t>
      </w:r>
      <w:r>
        <w:rPr>
          <w:rFonts w:ascii="Arial;sans-serif" w:hAnsi="Arial;sans-serif"/>
          <w:b w:val="false"/>
          <w:color w:val="000000"/>
          <w:sz w:val="24"/>
        </w:rPr>
        <w:t>), the United Nations Security Council (“</w:t>
      </w:r>
      <w:r>
        <w:rPr>
          <w:rFonts w:ascii="Arial;sans-serif" w:hAnsi="Arial;sans-serif"/>
          <w:b/>
          <w:color w:val="000000"/>
          <w:sz w:val="24"/>
        </w:rPr>
        <w:t>UNSC</w:t>
      </w:r>
      <w:r>
        <w:rPr>
          <w:color w:val="000000"/>
        </w:rPr>
        <w:t>”</w:t>
      </w:r>
      <w:r>
        <w:rPr>
          <w:rFonts w:ascii="Arial;sans-serif" w:hAnsi="Arial;sans-serif"/>
          <w:b w:val="false"/>
          <w:color w:val="000000"/>
          <w:sz w:val="24"/>
        </w:rPr>
        <w:t>), the European Union, His Majesty’s Treasury (“</w:t>
      </w:r>
      <w:r>
        <w:rPr>
          <w:rFonts w:ascii="Arial;sans-serif" w:hAnsi="Arial;sans-serif"/>
          <w:b/>
          <w:color w:val="000000"/>
          <w:sz w:val="24"/>
        </w:rPr>
        <w:t>HMT</w:t>
      </w:r>
      <w:r>
        <w:rPr>
          <w:color w:val="000000"/>
        </w:rPr>
        <w:t>”</w:t>
      </w:r>
      <w:r>
        <w:rPr>
          <w:rFonts w:ascii="Arial;sans-serif" w:hAnsi="Arial;sans-serif"/>
          <w:b w:val="false"/>
          <w:color w:val="000000"/>
          <w:sz w:val="24"/>
        </w:rPr>
        <w:t>), or other relevant sanctions authority (collectively, “</w:t>
      </w:r>
      <w:r>
        <w:rPr>
          <w:rFonts w:ascii="Arial;sans-serif" w:hAnsi="Arial;sans-serif"/>
          <w:b/>
          <w:color w:val="000000"/>
          <w:sz w:val="24"/>
        </w:rPr>
        <w:t>Sanctions</w:t>
      </w:r>
      <w:r>
        <w:rPr>
          <w:color w:val="000000"/>
        </w:rPr>
        <w:t>”</w:t>
      </w:r>
      <w:r>
        <w:rPr>
          <w:rFonts w:ascii="Arial;sans-serif" w:hAnsi="Arial;sans-serif"/>
          <w:b w:val="false"/>
          <w:color w:val="000000"/>
          <w:sz w:val="24"/>
        </w:rPr>
        <w:t>); and the Company will not directly or indirectly use the proceeds of the offering of the Securities pursuant hereto, or lend, contribute or otherwise make available such proceeds to any subsidiary, joint venture partner or other person or entity, for the purpose of financing the activities of any person that, at the time of such financing, is subject to any Sanctions.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69950"/>
                <wp:effectExtent l="0" t="0" r="0" b="0"/>
                <wp:wrapNone/>
                <wp:docPr id="19" name="Frame19"/>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pPr>
      <w:r>
        <w:rPr>
          <w:color w:val="000000"/>
        </w:rPr>
        <w:t>    </w:t>
      </w:r>
      <w:r>
        <w:rPr>
          <w:rFonts w:ascii="Arial;sans-serif" w:hAnsi="Arial;sans-serif"/>
          <w:b w:val="false"/>
          <w:color w:val="000000"/>
          <w:sz w:val="24"/>
        </w:rPr>
        <w:t>(ii)    </w:t>
      </w:r>
      <w:r>
        <w:rPr>
          <w:rFonts w:ascii="Arial;sans-serif" w:hAnsi="Arial;sans-serif"/>
          <w:b w:val="false"/>
          <w:i/>
          <w:color w:val="000000"/>
          <w:sz w:val="24"/>
        </w:rPr>
        <w:t>No Stabilization.</w:t>
      </w:r>
      <w:r>
        <w:rPr>
          <w:color w:val="000000"/>
        </w:rPr>
        <w:t xml:space="preserve"> </w:t>
      </w:r>
      <w:r>
        <w:rPr>
          <w:rFonts w:ascii="Arial;sans-serif" w:hAnsi="Arial;sans-serif"/>
          <w:b w:val="false"/>
          <w:color w:val="000000"/>
          <w:sz w:val="24"/>
        </w:rPr>
        <w:t>The Company has not taken, directly or indirectly, any action designed to or that could reasonably be expected to cause or result in any stabilization or manipulation of the price of the Securities.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(jj)    </w:t>
      </w:r>
      <w:r>
        <w:rPr>
          <w:rFonts w:ascii="Arial;sans-serif" w:hAnsi="Arial;sans-serif"/>
          <w:b w:val="false"/>
          <w:i/>
          <w:color w:val="000000"/>
          <w:sz w:val="24"/>
        </w:rPr>
        <w:t>Sarbanes-Oxley Act</w:t>
      </w:r>
      <w:r>
        <w:rPr>
          <w:rFonts w:ascii="Arial;sans-serif" w:hAnsi="Arial;sans-serif"/>
          <w:b w:val="false"/>
          <w:color w:val="000000"/>
          <w:sz w:val="24"/>
        </w:rPr>
        <w:t>. There is and has been no failure on the part of the Company or any of the Company’s directors or officers, in their capacities as such, to comply with any provision of the Sarbanes-Oxley Act of 2002, as amended, and the rules and regulations promulgated in connection therewith (the “</w:t>
      </w:r>
      <w:r>
        <w:rPr>
          <w:rFonts w:ascii="Arial;sans-serif" w:hAnsi="Arial;sans-serif"/>
          <w:b/>
          <w:color w:val="000000"/>
          <w:sz w:val="24"/>
        </w:rPr>
        <w:t>Sarbanes-Oxley Act</w:t>
      </w:r>
      <w:r>
        <w:rPr>
          <w:color w:val="000000"/>
        </w:rPr>
        <w:t>”</w:t>
      </w:r>
      <w:r>
        <w:rPr>
          <w:rFonts w:ascii="Arial;sans-serif" w:hAnsi="Arial;sans-serif"/>
          <w:b w:val="false"/>
          <w:color w:val="000000"/>
          <w:sz w:val="24"/>
        </w:rPr>
        <w:t>), including Section 402 related to loans and Sections 302 and 906 related to certifications.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(kk)    </w:t>
      </w:r>
      <w:r>
        <w:rPr>
          <w:rFonts w:ascii="Arial;sans-serif" w:hAnsi="Arial;sans-serif"/>
          <w:b w:val="false"/>
          <w:i/>
          <w:color w:val="000000"/>
          <w:sz w:val="24"/>
        </w:rPr>
        <w:t>Cybersecurity</w:t>
      </w:r>
      <w:r>
        <w:rPr>
          <w:rFonts w:ascii="Arial;sans-serif" w:hAnsi="Arial;sans-serif"/>
          <w:b w:val="false"/>
          <w:color w:val="000000"/>
          <w:sz w:val="24"/>
        </w:rPr>
        <w:t>. (i) Except as disclosed in the Registration Statement, the Time of Sale Information and the Prospectus, to the knowledge of the Company, (x) there has been no security breach or other compromise of or relating to any of the Company’s or any of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Arial;sans-serif" w:hAnsi="Arial;sans-serif"/>
          <w:b/>
          <w:color w:val="000000"/>
          <w:sz w:val="24"/>
        </w:rPr>
        <w:t>IT Systems and Data</w:t>
      </w:r>
      <w:r>
        <w:rPr>
          <w:color w:val="000000"/>
        </w:rPr>
        <w:t>”</w:t>
      </w:r>
      <w:r>
        <w:rPr>
          <w:rFonts w:ascii="Arial;sans-serif" w:hAnsi="Arial;sans-serif"/>
          <w:b w:val="false"/>
          <w:color w:val="000000"/>
          <w:sz w:val="24"/>
        </w:rPr>
        <w:t>) and (y) the Company and its subsidiaries have not been notified of, and have no knowledge of, any event or condition that would reasonably be expected to result in any security breach or other compromise to their IT Systems and Data; and (ii)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in each of (i) and (ii), as would not reasonably be expected, individually or in the aggregate, to have a Material Adverse Effect.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4.    </w:t>
      </w:r>
      <w:r>
        <w:rPr>
          <w:rFonts w:ascii="Arial;sans-serif" w:hAnsi="Arial;sans-serif"/>
          <w:b w:val="false"/>
          <w:color w:val="000000"/>
          <w:sz w:val="24"/>
          <w:u w:val="single"/>
        </w:rPr>
        <w:t>Further Agreements of the Company</w:t>
      </w:r>
      <w:r>
        <w:rPr>
          <w:rFonts w:ascii="Arial;sans-serif" w:hAnsi="Arial;sans-serif"/>
          <w:b w:val="false"/>
          <w:color w:val="000000"/>
          <w:sz w:val="24"/>
        </w:rPr>
        <w:t>. The Company covenants and agrees with each Underwriter that:</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Arial;sans-serif" w:hAnsi="Arial;sans-serif"/>
          <w:b w:val="false"/>
          <w:color w:val="000000"/>
          <w:sz w:val="24"/>
        </w:rPr>
        <w:t>(a)</w:t>
      </w:r>
      <w:r>
        <w:rPr>
          <w:rFonts w:ascii="Arial;sans-serif" w:hAnsi="Arial;sans-serif"/>
          <w:b w:val="false"/>
          <w:i/>
          <w:color w:val="000000"/>
          <w:sz w:val="24"/>
        </w:rPr>
        <w:t xml:space="preserve">Required Filings. </w:t>
      </w:r>
      <w:r>
        <w:rPr>
          <w:rFonts w:ascii="Arial;sans-serif" w:hAnsi="Arial;sans-serif"/>
          <w:b w:val="false"/>
          <w:color w:val="000000"/>
          <w:sz w:val="24"/>
        </w:rPr>
        <w:t xml:space="preserve">The Company will file the final Prospectus with the Commission within the time periods specified by Rule 424(b) and Rule 430A, 430B or 430C under the Securities Act, will file any Issuer Free Writing Prospectus (including the Pricing Term Sheet referred to in Annex A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69950"/>
                <wp:effectExtent l="0" t="0" r="0" b="0"/>
                <wp:wrapNone/>
                <wp:docPr id="20" name="Frame20"/>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and each Issuer Free Writing Prospectus (to the extent not previously delivered) to the Underwriters in New York City prior to 5:00 P.M., New York time, on the business day next succeeding the date of this Agreement in such quantities as the Representatives may reasonably request (for the avoidance of doubt, electronic delivery shall suffice). The Company will pay the registration fees for this offering within the time period required by Rule 456(b)(1)(i) under the Securities Act (without giving effect to the proviso therein) and in any event prior to the Closing Date.</w:t>
      </w:r>
    </w:p>
    <w:p>
      <w:pPr>
        <w:pStyle w:val="TextBody"/>
        <w:bidi w:val="0"/>
        <w:spacing w:lineRule="auto" w:line="288" w:before="0" w:after="240"/>
        <w:ind w:left="0" w:right="0" w:firstLine="720"/>
        <w:jc w:val="left"/>
        <w:rPr/>
      </w:pPr>
      <w:r>
        <w:rPr>
          <w:rFonts w:ascii="Arial;sans-serif" w:hAnsi="Arial;sans-serif"/>
          <w:b w:val="false"/>
          <w:color w:val="000000"/>
          <w:sz w:val="24"/>
        </w:rPr>
        <w:t>(b)</w:t>
      </w:r>
      <w:r>
        <w:rPr>
          <w:rFonts w:ascii="Arial;sans-serif" w:hAnsi="Arial;sans-serif"/>
          <w:b w:val="false"/>
          <w:i/>
          <w:color w:val="000000"/>
          <w:sz w:val="24"/>
        </w:rPr>
        <w:t>Delivery of Copies.</w:t>
      </w:r>
      <w:r>
        <w:rPr>
          <w:color w:val="000000"/>
        </w:rPr>
        <w:t xml:space="preserve"> </w:t>
      </w:r>
      <w:r>
        <w:rPr>
          <w:rFonts w:ascii="Arial;sans-serif" w:hAnsi="Arial;sans-serif"/>
          <w:b w:val="false"/>
          <w:color w:val="000000"/>
          <w:sz w:val="24"/>
        </w:rPr>
        <w:t>The Company will deliver, without charge,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Arial;sans-serif" w:hAnsi="Arial;sans-serif"/>
          <w:b/>
          <w:color w:val="000000"/>
          <w:sz w:val="24"/>
        </w:rPr>
        <w:t>Prospectus Delivery Period</w:t>
      </w:r>
      <w:r>
        <w:rPr>
          <w:color w:val="000000"/>
        </w:rPr>
        <w:t xml:space="preserve">” </w:t>
      </w:r>
      <w:r>
        <w:rPr>
          <w:rFonts w:ascii="Arial;sans-serif" w:hAnsi="Arial;sans-serif"/>
          <w:b w:val="false"/>
          <w:color w:val="000000"/>
          <w:sz w:val="24"/>
        </w:rPr>
        <w:t>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pStyle w:val="TextBody"/>
        <w:bidi w:val="0"/>
        <w:spacing w:lineRule="auto" w:line="288" w:before="0" w:after="240"/>
        <w:ind w:left="0" w:right="0" w:firstLine="720"/>
        <w:jc w:val="left"/>
        <w:rPr/>
      </w:pPr>
      <w:r>
        <w:rPr>
          <w:rFonts w:ascii="Arial;sans-serif" w:hAnsi="Arial;sans-serif"/>
          <w:b w:val="false"/>
          <w:color w:val="000000"/>
          <w:sz w:val="24"/>
        </w:rPr>
        <w:t>(c)</w:t>
      </w:r>
      <w:r>
        <w:rPr>
          <w:rFonts w:ascii="Arial;sans-serif" w:hAnsi="Arial;sans-serif"/>
          <w:b w:val="false"/>
          <w:i/>
          <w:color w:val="000000"/>
          <w:sz w:val="24"/>
        </w:rPr>
        <w:t>Amendments or Supplements; Issuer Free Writing Prospectuses.</w:t>
      </w:r>
      <w:r>
        <w:rPr>
          <w:color w:val="000000"/>
        </w:rPr>
        <w:t xml:space="preserve"> </w:t>
      </w:r>
      <w:r>
        <w:rPr>
          <w:rFonts w:ascii="Arial;sans-serif" w:hAnsi="Arial;sans-serif"/>
          <w:b w:val="false"/>
          <w:color w:val="000000"/>
          <w:sz w:val="24"/>
        </w:rPr>
        <w:t xml:space="preserve">Before making, preparing, using, authorizing, approving, referring to or filing any Issuer Free Writing Prospectus during the Prospectus Delivery Period, and before filing any amendment or supplement to the Registration Statement or the Prospectus during the Prospectus Delivery Period,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w:t>
      </w:r>
    </w:p>
    <w:p>
      <w:pPr>
        <w:pStyle w:val="TextBody"/>
        <w:bidi w:val="0"/>
        <w:spacing w:lineRule="auto" w:line="288" w:before="0" w:after="240"/>
        <w:ind w:left="0" w:right="0" w:firstLine="720"/>
        <w:jc w:val="left"/>
        <w:rPr/>
      </w:pPr>
      <w:r>
        <w:rPr>
          <w:rFonts w:ascii="Arial;sans-serif" w:hAnsi="Arial;sans-serif"/>
          <w:b w:val="false"/>
          <w:color w:val="000000"/>
          <w:sz w:val="24"/>
        </w:rPr>
        <w:t>(d)</w:t>
      </w:r>
      <w:r>
        <w:rPr>
          <w:rFonts w:ascii="Arial;sans-serif" w:hAnsi="Arial;sans-serif"/>
          <w:b w:val="false"/>
          <w:i/>
          <w:color w:val="000000"/>
          <w:sz w:val="24"/>
        </w:rPr>
        <w:t>Notice to the Representatives.</w:t>
      </w:r>
      <w:r>
        <w:rPr>
          <w:color w:val="000000"/>
        </w:rPr>
        <w:t xml:space="preserve"> </w:t>
      </w:r>
      <w:r>
        <w:rPr>
          <w:rFonts w:ascii="Arial;sans-serif" w:hAnsi="Arial;sans-serif"/>
          <w:b w:val="false"/>
          <w:color w:val="000000"/>
          <w:sz w:val="24"/>
        </w:rPr>
        <w:t xml:space="preserve">During the Prospectus Delivery Period, the Company will advise the Representatives promptly, and confirm such advice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69950"/>
                <wp:effectExtent l="0" t="0" r="0" b="0"/>
                <wp:wrapNone/>
                <wp:docPr id="21" name="Frame21"/>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as applicable,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reasonable best efforts to obtain as soon as possible the withdrawal thereof.</w:t>
      </w:r>
    </w:p>
    <w:p>
      <w:pPr>
        <w:pStyle w:val="TextBody"/>
        <w:bidi w:val="0"/>
        <w:spacing w:lineRule="auto" w:line="288" w:before="0" w:after="240"/>
        <w:ind w:left="0" w:right="0" w:firstLine="720"/>
        <w:jc w:val="left"/>
        <w:rPr/>
      </w:pPr>
      <w:r>
        <w:rPr>
          <w:rFonts w:ascii="Arial;sans-serif" w:hAnsi="Arial;sans-serif"/>
          <w:b w:val="false"/>
          <w:color w:val="000000"/>
          <w:sz w:val="24"/>
        </w:rPr>
        <w:t>(e)</w:t>
      </w:r>
      <w:r>
        <w:rPr>
          <w:rFonts w:ascii="Arial;sans-serif" w:hAnsi="Arial;sans-serif"/>
          <w:b w:val="false"/>
          <w:i/>
          <w:color w:val="000000"/>
          <w:sz w:val="24"/>
        </w:rPr>
        <w:t>Time of Sale Information.</w:t>
      </w:r>
      <w:r>
        <w:rPr>
          <w:color w:val="000000"/>
        </w:rPr>
        <w:t xml:space="preserve"> </w:t>
      </w:r>
      <w:r>
        <w:rPr>
          <w:rFonts w:ascii="Arial;sans-serif" w:hAnsi="Arial;sans-serif"/>
          <w:b w:val="false"/>
          <w:color w:val="000000"/>
          <w:sz w:val="24"/>
        </w:rPr>
        <w:t>If at any time prior to the Closing Date (i) any event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pStyle w:val="TextBody"/>
        <w:bidi w:val="0"/>
        <w:spacing w:lineRule="auto" w:line="288" w:before="0" w:after="240"/>
        <w:ind w:left="0" w:right="0" w:firstLine="720"/>
        <w:jc w:val="left"/>
        <w:rPr/>
      </w:pPr>
      <w:r>
        <w:rPr>
          <w:rFonts w:ascii="Arial;sans-serif" w:hAnsi="Arial;sans-serif"/>
          <w:b w:val="false"/>
          <w:color w:val="000000"/>
          <w:sz w:val="24"/>
        </w:rPr>
        <w:t>(f)</w:t>
      </w:r>
      <w:r>
        <w:rPr>
          <w:rFonts w:ascii="Arial;sans-serif" w:hAnsi="Arial;sans-serif"/>
          <w:b w:val="false"/>
          <w:i/>
          <w:color w:val="000000"/>
          <w:sz w:val="24"/>
        </w:rPr>
        <w:t>Ongoing Compliance</w:t>
      </w:r>
      <w:r>
        <w:rPr>
          <w:rFonts w:ascii="Arial;sans-serif" w:hAnsi="Arial;sans-serif"/>
          <w:b w:val="false"/>
          <w:color w:val="000000"/>
          <w:sz w:val="24"/>
        </w:rPr>
        <w:t xml:space="preserve">. If during the Prospectus Delivery Period (i) any event shall occur or condition shall exist as a result of which the Prospectus as 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 misleading or (ii) it is necessary to amend or supplement the Prospectus to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69950"/>
                <wp:effectExtent l="0" t="0" r="0" b="0"/>
                <wp:wrapNone/>
                <wp:docPr id="22" name="Frame22"/>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4"/>
        </w:rPr>
        <w:t>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will not, in the light of the circumstances existing when the Prospectus is delivered to a purchaser, be misleading or so that the Prospectus will comply with law</w:t>
      </w:r>
      <w:r>
        <w:rPr>
          <w:rFonts w:ascii="Arial;sans-serif" w:hAnsi="Arial;sans-serif"/>
          <w:b w:val="false"/>
          <w:i/>
          <w:color w:val="000000"/>
          <w:sz w:val="24"/>
        </w:rPr>
        <w:t>.</w:t>
      </w:r>
    </w:p>
    <w:p>
      <w:pPr>
        <w:pStyle w:val="TextBody"/>
        <w:bidi w:val="0"/>
        <w:spacing w:lineRule="auto" w:line="288" w:before="0" w:after="240"/>
        <w:ind w:left="0" w:right="0" w:firstLine="720"/>
        <w:jc w:val="left"/>
        <w:rPr/>
      </w:pPr>
      <w:r>
        <w:rPr>
          <w:rFonts w:ascii="Arial;sans-serif" w:hAnsi="Arial;sans-serif"/>
          <w:b w:val="false"/>
          <w:color w:val="000000"/>
          <w:sz w:val="24"/>
        </w:rPr>
        <w:t>(g)</w:t>
      </w:r>
      <w:r>
        <w:rPr>
          <w:rFonts w:ascii="Arial;sans-serif" w:hAnsi="Arial;sans-serif"/>
          <w:b w:val="false"/>
          <w:i/>
          <w:color w:val="000000"/>
          <w:sz w:val="24"/>
        </w:rPr>
        <w:t>Blue Sky Compliance.</w:t>
      </w:r>
      <w:r>
        <w:rPr>
          <w:color w:val="000000"/>
        </w:rPr>
        <w:t xml:space="preserve"> </w:t>
      </w:r>
      <w:r>
        <w:rPr>
          <w:rFonts w:ascii="Arial;sans-serif" w:hAnsi="Arial;sans-serif"/>
          <w:b w:val="false"/>
          <w:color w:val="000000"/>
          <w:sz w:val="24"/>
        </w:rPr>
        <w:t xml:space="preserve">The Company will use its reasonable best efforts to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rPr>
        <w:t>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lineRule="auto" w:line="288" w:before="0" w:after="240"/>
        <w:ind w:left="0" w:right="0" w:firstLine="720"/>
        <w:jc w:val="left"/>
        <w:rPr/>
      </w:pPr>
      <w:r>
        <w:rPr>
          <w:rFonts w:ascii="Arial;sans-serif" w:hAnsi="Arial;sans-serif"/>
          <w:b w:val="false"/>
          <w:color w:val="000000"/>
          <w:sz w:val="24"/>
        </w:rPr>
        <w:t>(h)</w:t>
      </w:r>
      <w:r>
        <w:rPr>
          <w:rFonts w:ascii="Arial;sans-serif" w:hAnsi="Arial;sans-serif"/>
          <w:b w:val="false"/>
          <w:i/>
          <w:color w:val="000000"/>
          <w:sz w:val="24"/>
        </w:rPr>
        <w:t xml:space="preserve">Earning Statement. </w:t>
      </w:r>
      <w:r>
        <w:rPr>
          <w:rFonts w:ascii="Arial;sans-serif" w:hAnsi="Arial;sans-serif"/>
          <w:b w:val="false"/>
          <w:color w:val="000000"/>
          <w:sz w:val="24"/>
        </w:rPr>
        <w:t>The Company will make generally available to its security holders and the Representatives as soon as practicable an earning statement (which need not be audited) that satisfies the provisions of Section 11(a) of the Securities Act and Rule 158 of the Commission promulgated thereunder.</w:t>
      </w:r>
    </w:p>
    <w:p>
      <w:pPr>
        <w:pStyle w:val="TextBody"/>
        <w:bidi w:val="0"/>
        <w:spacing w:lineRule="auto" w:line="288" w:before="0" w:after="0"/>
        <w:jc w:val="left"/>
        <w:rPr/>
      </w:pPr>
      <w:r>
        <w:rPr>
          <w:color w:val="000000"/>
        </w:rPr>
        <w:t>    </w:t>
      </w:r>
      <w:r>
        <w:rPr>
          <w:rFonts w:ascii="Arial;sans-serif" w:hAnsi="Arial;sans-serif"/>
          <w:b w:val="false"/>
          <w:color w:val="000000"/>
          <w:sz w:val="24"/>
        </w:rPr>
        <w:t>(i)    </w:t>
      </w:r>
      <w:r>
        <w:rPr>
          <w:rFonts w:ascii="Arial;sans-serif" w:hAnsi="Arial;sans-serif"/>
          <w:b w:val="false"/>
          <w:i/>
          <w:color w:val="000000"/>
          <w:sz w:val="24"/>
        </w:rPr>
        <w:t>Clear Market.</w:t>
      </w:r>
      <w:r>
        <w:rPr>
          <w:color w:val="000000"/>
        </w:rPr>
        <w:t xml:space="preserve"> </w:t>
      </w:r>
      <w:r>
        <w:rPr>
          <w:rFonts w:ascii="Arial;sans-serif" w:hAnsi="Arial;sans-serif"/>
          <w:b w:val="false"/>
          <w:color w:val="000000"/>
          <w:sz w:val="24"/>
        </w:rPr>
        <w:t>Except as contemplated by this Agreement, during the period from the date hereof through and including the Closing Date, the Company will not, without the prior written consent of the Representatives, offer, sell, contract to sell or otherwise dispose of any debt securities issued or guaranteed by the Company and having a tenor of more than one year.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(j)    </w:t>
      </w:r>
      <w:r>
        <w:rPr>
          <w:rFonts w:ascii="Arial;sans-serif" w:hAnsi="Arial;sans-serif"/>
          <w:b w:val="false"/>
          <w:i/>
          <w:color w:val="000000"/>
          <w:sz w:val="24"/>
        </w:rPr>
        <w:t>Use of Proceeds.</w:t>
      </w:r>
      <w:r>
        <w:rPr>
          <w:color w:val="000000"/>
        </w:rPr>
        <w:t xml:space="preserve"> </w:t>
      </w:r>
      <w:r>
        <w:rPr>
          <w:rFonts w:ascii="Arial;sans-serif" w:hAnsi="Arial;sans-serif"/>
          <w:b w:val="false"/>
          <w:color w:val="000000"/>
          <w:sz w:val="24"/>
        </w:rPr>
        <w:t>The Company will apply the net proceeds from the sale of the Securities as described in the Registration Statement, the Time of Sale Information and the Prospectus under the heading “Use of Proceeds”.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(k)    </w:t>
      </w:r>
      <w:r>
        <w:rPr>
          <w:rFonts w:ascii="Arial;sans-serif" w:hAnsi="Arial;sans-serif"/>
          <w:b w:val="false"/>
          <w:i/>
          <w:color w:val="000000"/>
          <w:sz w:val="24"/>
        </w:rPr>
        <w:t>DTC.</w:t>
      </w:r>
      <w:r>
        <w:rPr>
          <w:color w:val="000000"/>
        </w:rPr>
        <w:t xml:space="preserve"> </w:t>
      </w:r>
      <w:r>
        <w:rPr>
          <w:rFonts w:ascii="Arial;sans-serif" w:hAnsi="Arial;sans-serif"/>
          <w:b w:val="false"/>
          <w:color w:val="000000"/>
          <w:sz w:val="24"/>
        </w:rPr>
        <w:t>The Company will assist the Underwriters in arranging for the Securities to be eligible for clearance and settlement through DTC.</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(l)     </w:t>
      </w:r>
      <w:r>
        <w:rPr>
          <w:rFonts w:ascii="Arial;sans-serif" w:hAnsi="Arial;sans-serif"/>
          <w:b w:val="false"/>
          <w:i/>
          <w:color w:val="000000"/>
          <w:sz w:val="24"/>
        </w:rPr>
        <w:t>No Stabilization.</w:t>
      </w:r>
      <w:r>
        <w:rPr>
          <w:color w:val="000000"/>
        </w:rPr>
        <w:t xml:space="preserve"> </w:t>
      </w:r>
      <w:r>
        <w:rPr>
          <w:rFonts w:ascii="Arial;sans-serif" w:hAnsi="Arial;sans-serif"/>
          <w:b w:val="false"/>
          <w:color w:val="000000"/>
          <w:sz w:val="24"/>
        </w:rPr>
        <w:t xml:space="preserve">The Company will not take, directly or indirectly, any action designed to or that could reasonably be expected to cause or result in any stabilization or manipulation of the price of the Securities.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69950"/>
                <wp:effectExtent l="0" t="0" r="0" b="0"/>
                <wp:wrapNone/>
                <wp:docPr id="23" name="Frame23"/>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19</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19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pPr>
      <w:r>
        <w:rPr>
          <w:color w:val="000000"/>
        </w:rPr>
        <w:t>    </w:t>
      </w:r>
      <w:r>
        <w:rPr>
          <w:rFonts w:ascii="Arial;sans-serif" w:hAnsi="Arial;sans-serif"/>
          <w:b w:val="false"/>
          <w:color w:val="000000"/>
          <w:sz w:val="24"/>
        </w:rPr>
        <w:t>5.    </w:t>
      </w:r>
      <w:r>
        <w:rPr>
          <w:rFonts w:ascii="Arial;sans-serif" w:hAnsi="Arial;sans-serif"/>
          <w:b w:val="false"/>
          <w:color w:val="000000"/>
          <w:sz w:val="24"/>
          <w:u w:val="single"/>
        </w:rPr>
        <w:t>Certain Agreements of the Underwriters</w:t>
      </w:r>
      <w:r>
        <w:rPr>
          <w:rFonts w:ascii="Arial;sans-serif" w:hAnsi="Arial;sans-serif"/>
          <w:b w:val="false"/>
          <w:color w:val="000000"/>
          <w:sz w:val="24"/>
        </w:rPr>
        <w:t>.    Each Underwriter hereby represents and agrees that:</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Arial;sans-serif" w:hAnsi="Arial;sans-serif"/>
          <w:b w:val="false"/>
          <w:color w:val="000000"/>
          <w:sz w:val="24"/>
        </w:rPr>
        <w:t>(a)It has not and will not use, authorize use of, refer to, or participate in the planning for use of, any “</w:t>
      </w:r>
      <w:r>
        <w:rPr>
          <w:rFonts w:ascii="Arial;sans-serif" w:hAnsi="Arial;sans-serif"/>
          <w:b/>
          <w:color w:val="000000"/>
          <w:sz w:val="24"/>
        </w:rPr>
        <w:t>free writing prospectus</w:t>
      </w:r>
      <w:r>
        <w:rPr>
          <w:color w:val="000000"/>
        </w:rPr>
        <w:t>”</w:t>
      </w:r>
      <w:r>
        <w:rPr>
          <w:rFonts w:ascii="Arial;sans-serif" w:hAnsi="Arial;sans-serif"/>
          <w:b w:val="false"/>
          <w:color w:val="000000"/>
          <w:sz w:val="24"/>
        </w:rPr>
        <w:t>, as defined in Rule 405 under the Securities Act with respect to the Securities other than (i) a free writing prospectus that would not, solely as a result of use by such Underwriter,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Arial;sans-serif" w:hAnsi="Arial;sans-serif"/>
          <w:b/>
          <w:color w:val="000000"/>
          <w:sz w:val="24"/>
        </w:rPr>
        <w:t>Underwriter Free Writing Prospectus</w:t>
      </w:r>
      <w:r>
        <w:rPr>
          <w:color w:val="000000"/>
        </w:rPr>
        <w:t>”</w:t>
      </w:r>
      <w:r>
        <w:rPr>
          <w:rFonts w:ascii="Arial;sans-serif" w:hAnsi="Arial;sans-serif"/>
          <w:b w:val="false"/>
          <w:color w:val="000000"/>
          <w:sz w:val="24"/>
        </w:rPr>
        <w:t>). Notwithstanding the foregoing, the Underwriters may use the Pricing Term Sheet referred to in Annex A hereto without the consent of the Company.</w:t>
      </w:r>
    </w:p>
    <w:p>
      <w:pPr>
        <w:pStyle w:val="TextBody"/>
        <w:bidi w:val="0"/>
        <w:spacing w:lineRule="auto" w:line="288" w:before="0" w:after="240"/>
        <w:ind w:left="0" w:right="0" w:firstLine="720"/>
        <w:jc w:val="left"/>
        <w:rPr>
          <w:rFonts w:ascii="Arial;sans-serif" w:hAnsi="Arial;sans-serif"/>
          <w:b w:val="false"/>
          <w:color w:val="000000"/>
          <w:sz w:val="24"/>
        </w:rPr>
      </w:pPr>
      <w:r>
        <w:rPr>
          <w:rFonts w:ascii="Arial;sans-serif" w:hAnsi="Arial;sans-serif"/>
          <w:b w:val="false"/>
          <w:color w:val="000000"/>
          <w:sz w:val="24"/>
        </w:rPr>
        <w:t>(b)It is not subject to any pending proceeding under Section 8A of the Securities Act with respect to the offering of the Securities (and will promptly notify the Company if any such proceeding against it is initiated during the Prospectus Delivery Period).</w:t>
      </w:r>
    </w:p>
    <w:p>
      <w:pPr>
        <w:pStyle w:val="TextBody"/>
        <w:bidi w:val="0"/>
        <w:spacing w:lineRule="auto" w:line="288" w:before="0" w:after="0"/>
        <w:jc w:val="left"/>
        <w:rPr/>
      </w:pPr>
      <w:r>
        <w:rPr>
          <w:color w:val="000000"/>
        </w:rPr>
        <w:t>    </w:t>
      </w:r>
      <w:r>
        <w:rPr>
          <w:rFonts w:ascii="Arial;sans-serif" w:hAnsi="Arial;sans-serif"/>
          <w:b w:val="false"/>
          <w:color w:val="000000"/>
          <w:sz w:val="24"/>
        </w:rPr>
        <w:t>6.    </w:t>
      </w:r>
      <w:r>
        <w:rPr>
          <w:rFonts w:ascii="Arial;sans-serif" w:hAnsi="Arial;sans-serif"/>
          <w:b w:val="false"/>
          <w:color w:val="000000"/>
          <w:sz w:val="24"/>
          <w:u w:val="single"/>
        </w:rPr>
        <w:t>Conditions of Underwriters’ Obligations.</w:t>
      </w:r>
      <w:r>
        <w:rPr>
          <w:color w:val="000000"/>
        </w:rPr>
        <w:t xml:space="preserve"> </w:t>
      </w:r>
      <w:r>
        <w:rPr>
          <w:rFonts w:ascii="Arial;sans-serif" w:hAnsi="Arial;sans-serif"/>
          <w:b w:val="false"/>
          <w:color w:val="000000"/>
          <w:sz w:val="24"/>
        </w:rPr>
        <w:t>The obligation of each Underwriter to purchase Securities on the Closing Date as provided herein is subject to the performance by the Company of its covenants and other obligations hereunder and to the following additional conditions:</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Arial;sans-serif" w:hAnsi="Arial;sans-serif"/>
          <w:b w:val="false"/>
          <w:color w:val="000000"/>
          <w:sz w:val="24"/>
        </w:rPr>
        <w:t>(a)</w:t>
      </w:r>
      <w:r>
        <w:rPr>
          <w:rFonts w:ascii="Arial;sans-serif" w:hAnsi="Arial;sans-serif"/>
          <w:b w:val="false"/>
          <w:i/>
          <w:color w:val="000000"/>
          <w:sz w:val="24"/>
        </w:rPr>
        <w:t>Registration Compliance; No Stop Order.</w:t>
      </w:r>
      <w:r>
        <w:rPr>
          <w:color w:val="000000"/>
        </w:rPr>
        <w:t xml:space="preserve"> </w:t>
      </w:r>
      <w:r>
        <w:rPr>
          <w:rFonts w:ascii="Arial;sans-serif" w:hAnsi="Arial;sans-serif"/>
          <w:b w:val="false"/>
          <w:color w:val="000000"/>
          <w:sz w:val="24"/>
        </w:rPr>
        <w:t>No order suspending the effectiveness of the Registration 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Underwriters.</w:t>
      </w:r>
    </w:p>
    <w:p>
      <w:pPr>
        <w:pStyle w:val="TextBody"/>
        <w:bidi w:val="0"/>
        <w:spacing w:lineRule="auto" w:line="288" w:before="0" w:after="0"/>
        <w:jc w:val="left"/>
        <w:rPr/>
      </w:pPr>
      <w:r>
        <w:rPr>
          <w:color w:val="000000"/>
        </w:rPr>
        <w:t>    </w:t>
      </w:r>
      <w:r>
        <w:rPr>
          <w:rFonts w:ascii="Arial;sans-serif" w:hAnsi="Arial;sans-serif"/>
          <w:b w:val="false"/>
          <w:color w:val="000000"/>
          <w:sz w:val="24"/>
        </w:rPr>
        <w:t>(b)</w:t>
      </w:r>
      <w:r>
        <w:rPr>
          <w:color w:val="000000"/>
        </w:rPr>
        <w:t>    </w:t>
      </w:r>
      <w:r>
        <w:rPr>
          <w:rFonts w:ascii="Arial;sans-serif" w:hAnsi="Arial;sans-serif"/>
          <w:b w:val="false"/>
          <w:i/>
          <w:color w:val="000000"/>
          <w:sz w:val="24"/>
        </w:rPr>
        <w:t>Representations and Warranties.</w:t>
      </w:r>
      <w:r>
        <w:rPr>
          <w:color w:val="000000"/>
        </w:rPr>
        <w:t xml:space="preserve"> </w:t>
      </w:r>
      <w:r>
        <w:rPr>
          <w:rFonts w:ascii="Arial;sans-serif" w:hAnsi="Arial;sans-serif"/>
          <w:b w:val="false"/>
          <w:color w:val="000000"/>
          <w:sz w:val="24"/>
        </w:rPr>
        <w:t>The representations and warranties of the Company contained herein shall be true and correct on the date hereof and on and as of the Closing Date; and the statements of the Company and its officers on behalf of the Company made in any certificates delivered pursuant to this Agreement shall be true and correct on and as of the Closing Date.</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69950"/>
                <wp:effectExtent l="0" t="0" r="0" b="0"/>
                <wp:wrapNone/>
                <wp:docPr id="24" name="Frame24"/>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pPr>
      <w:r>
        <w:rPr>
          <w:color w:val="000000"/>
        </w:rPr>
        <w:t>    </w:t>
      </w:r>
      <w:r>
        <w:rPr>
          <w:rFonts w:ascii="Arial;sans-serif" w:hAnsi="Arial;sans-serif"/>
          <w:b w:val="false"/>
          <w:color w:val="000000"/>
          <w:sz w:val="24"/>
        </w:rPr>
        <w:t>(c)    </w:t>
      </w:r>
      <w:r>
        <w:rPr>
          <w:rFonts w:ascii="Arial;sans-serif" w:hAnsi="Arial;sans-serif"/>
          <w:b w:val="false"/>
          <w:i/>
          <w:color w:val="000000"/>
          <w:sz w:val="24"/>
        </w:rPr>
        <w:t>Rating</w:t>
      </w:r>
      <w:r>
        <w:rPr>
          <w:rFonts w:ascii="Arial;sans-serif" w:hAnsi="Arial;sans-serif"/>
          <w:b w:val="false"/>
          <w:color w:val="000000"/>
          <w:sz w:val="24"/>
        </w:rPr>
        <w:t>. The Securities have been rated by a “nationally recognized statistical rating organization” (as is defined in Section 3(a)(62) of the Exchange Act), including two or more of Moody’s Investors Service, Inc., S&amp;P Global Ratings and Fitch Ratings, Inc.</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4"/>
        </w:rPr>
        <w:t>(d)    </w:t>
      </w:r>
      <w:r>
        <w:rPr>
          <w:rFonts w:ascii="Arial;sans-serif" w:hAnsi="Arial;sans-serif"/>
          <w:b w:val="false"/>
          <w:i/>
          <w:color w:val="000000"/>
          <w:sz w:val="24"/>
        </w:rPr>
        <w:t>No Downgrade.</w:t>
      </w:r>
      <w:r>
        <w:rPr>
          <w:color w:val="000000"/>
        </w:rPr>
        <w:t xml:space="preserve"> </w:t>
      </w:r>
      <w:r>
        <w:rPr>
          <w:rFonts w:ascii="Arial;sans-serif" w:hAnsi="Arial;sans-serif"/>
          <w:b w:val="false"/>
          <w:color w:val="000000"/>
          <w:sz w:val="24"/>
        </w:rPr>
        <w:t>Subsequent to the earlier of (A) the Time of Sale and (B) the execution and delivery of this Agreement, (i) no downgrading shall have occurred in the rating accorded the Securities or any other debt securities or preferred stock issued or guaranteed by the Company or any of its subsidiaries by any “nationally recognized statistical rating organization”, as such term is defined in Section 3(a)(62) of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(e)    </w:t>
      </w:r>
      <w:r>
        <w:rPr>
          <w:rFonts w:ascii="Arial;sans-serif" w:hAnsi="Arial;sans-serif"/>
          <w:b w:val="false"/>
          <w:i/>
          <w:color w:val="000000"/>
          <w:sz w:val="24"/>
        </w:rPr>
        <w:t>No Material Adverse Change.</w:t>
      </w:r>
      <w:r>
        <w:rPr>
          <w:color w:val="000000"/>
        </w:rPr>
        <w:t xml:space="preserve"> </w:t>
      </w:r>
      <w:r>
        <w:rPr>
          <w:rFonts w:ascii="Arial;sans-serif" w:hAnsi="Arial;sans-serif"/>
          <w:b w:val="false"/>
          <w:color w:val="000000"/>
          <w:sz w:val="24"/>
        </w:rPr>
        <w:t>No event or condition of a type described in Section 3(h) hereof shall have occurred or shall exist, which event or condition is not described in each of the Time of Sale Information (excluding any amendment or supplement thereto) and the Prospectus (excluding any amendment or supplement thereto) the effect of which in the judgment of the Underwriters makes it impracticable or inadvisable to proceed with the offering, sale or delivery of the Securities on the terms and in the manner contemplated by this Agreement, the Time of Sale Information and the Prospectus.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(f)    </w:t>
      </w:r>
      <w:r>
        <w:rPr>
          <w:rFonts w:ascii="Arial;sans-serif" w:hAnsi="Arial;sans-serif"/>
          <w:b w:val="false"/>
          <w:i/>
          <w:color w:val="000000"/>
          <w:sz w:val="24"/>
        </w:rPr>
        <w:t>Officer’s Certificate.</w:t>
      </w:r>
      <w:r>
        <w:rPr>
          <w:color w:val="000000"/>
        </w:rPr>
        <w:t xml:space="preserve"> </w:t>
      </w:r>
      <w:r>
        <w:rPr>
          <w:rFonts w:ascii="Arial;sans-serif" w:hAnsi="Arial;sans-serif"/>
          <w:b w:val="false"/>
          <w:color w:val="000000"/>
          <w:sz w:val="24"/>
        </w:rPr>
        <w:t>The Underwriters shall have received on and as of the Closing Date a certificate of an executive officer of the Company who has specific knowledge of the Company’s financial matters and is satisfactory to the Underwriters, certifying on behalf of the Company (i) that such officer has carefully reviewed the Registration Statement, the Time of Sale Information and the Prospectus and, to the best knowledge of such officer and on behalf of the Company and not in his or her individual capacity, the representations set forth in Sections 3(b) and 3(d) hereof are true and correct, (ii)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(c) and (d) above.</w:t>
      </w:r>
    </w:p>
    <w:p>
      <w:pPr>
        <w:pStyle w:val="TextBody"/>
        <w:bidi w:val="0"/>
        <w:spacing w:before="0" w:after="0"/>
        <w:jc w:val="left"/>
        <w:rPr/>
      </w:pPr>
      <w:r>
        <w:rPr/>
      </w:r>
    </w:p>
    <w:p>
      <w:pPr>
        <w:pStyle w:val="TextBody"/>
        <w:bidi w:val="0"/>
        <w:spacing w:lineRule="auto" w:line="288" w:before="0" w:after="240"/>
        <w:ind w:left="0" w:right="0" w:firstLine="720"/>
        <w:jc w:val="left"/>
        <w:rPr>
          <w:rFonts w:ascii="Arial;sans-serif" w:hAnsi="Arial;sans-serif"/>
          <w:b w:val="false"/>
          <w:color w:val="000000"/>
          <w:sz w:val="24"/>
        </w:rPr>
      </w:pPr>
      <w:r>
        <w:rPr>
          <w:rFonts w:ascii="Arial;sans-serif" w:hAnsi="Arial;sans-serif"/>
          <w:b w:val="false"/>
          <w:color w:val="000000"/>
          <w:sz w:val="24"/>
        </w:rPr>
        <w:t>(g)    [Intentionally Omitted.]</w:t>
      </w:r>
    </w:p>
    <w:p>
      <w:pPr>
        <w:pStyle w:val="TextBody"/>
        <w:bidi w:val="0"/>
        <w:spacing w:lineRule="auto" w:line="288" w:before="0" w:after="240"/>
        <w:ind w:left="0" w:right="0" w:firstLine="720"/>
        <w:jc w:val="left"/>
        <w:rPr/>
      </w:pPr>
      <w:r>
        <w:rPr>
          <w:rFonts w:ascii="Arial;sans-serif" w:hAnsi="Arial;sans-serif"/>
          <w:b w:val="false"/>
          <w:color w:val="000000"/>
          <w:sz w:val="24"/>
        </w:rPr>
        <w:t>(h)    </w:t>
      </w:r>
      <w:r>
        <w:rPr>
          <w:color w:val="000000"/>
        </w:rPr>
        <w:t xml:space="preserve"> </w:t>
      </w:r>
      <w:r>
        <w:rPr>
          <w:rFonts w:ascii="Arial;sans-serif" w:hAnsi="Arial;sans-serif"/>
          <w:b w:val="false"/>
          <w:i/>
          <w:color w:val="000000"/>
          <w:sz w:val="24"/>
        </w:rPr>
        <w:t>Comfort Letters.</w:t>
      </w:r>
      <w:r>
        <w:rPr>
          <w:color w:val="000000"/>
        </w:rPr>
        <w:t xml:space="preserve"> </w:t>
      </w:r>
      <w:r>
        <w:rPr>
          <w:rFonts w:ascii="Arial;sans-serif" w:hAnsi="Arial;sans-serif"/>
          <w:b w:val="false"/>
          <w:color w:val="000000"/>
          <w:sz w:val="24"/>
        </w:rPr>
        <w:t xml:space="preserve">On the date of this Agreement and on the Closing Date, Deloitte &amp; Touche LLP shall have furnished to the Underwriters, at the request of the Company, letters, dated the respective dates of delivery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69950"/>
                <wp:effectExtent l="0" t="0" r="0" b="0"/>
                <wp:wrapNone/>
                <wp:docPr id="25" name="Frame25"/>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4"/>
        </w:rPr>
        <w:t xml:space="preserve">and addressed to the Underwriters, in form and substance reasonably satisfactory to the Underwriters, containing statements and information of the type customarily included in accountants’ “comfort letters” to underwriters with respect to the financial statements and certain financial information of the Company contained or incorporated by reference in the Registration Statement, the Time of Sale Information and the Prospectus;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rPr>
        <w:t>that the letter delivered by Deloitte &amp; Touche LLP on the Closing Date shall use a “cut-off” date no more than three business days prior to the Closing Date.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(i)    </w:t>
      </w:r>
      <w:r>
        <w:rPr>
          <w:rFonts w:ascii="Arial;sans-serif" w:hAnsi="Arial;sans-serif"/>
          <w:b w:val="false"/>
          <w:i/>
          <w:color w:val="000000"/>
          <w:sz w:val="24"/>
        </w:rPr>
        <w:t>Opinion and Negative Assurance Letter of Counsel for the Company.</w:t>
      </w:r>
      <w:r>
        <w:rPr>
          <w:color w:val="000000"/>
        </w:rPr>
        <w:t xml:space="preserve"> </w:t>
      </w:r>
      <w:r>
        <w:rPr>
          <w:rFonts w:ascii="Arial;sans-serif" w:hAnsi="Arial;sans-serif"/>
          <w:b w:val="false"/>
          <w:color w:val="000000"/>
          <w:sz w:val="24"/>
        </w:rPr>
        <w:t xml:space="preserve">Gibson, Dunn &amp; Crutcher LLP, counsel for the Company, shall have furnished to the Underwriters, at the request of the Company, their written opinion and 10b-5 statement, dated the Closing Date and addressed to the Underwriters, in form and substance reasonably satisfactory to the Underwriters.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(j)    </w:t>
      </w:r>
      <w:r>
        <w:rPr>
          <w:rFonts w:ascii="Arial;sans-serif" w:hAnsi="Arial;sans-serif"/>
          <w:b w:val="false"/>
          <w:i/>
          <w:color w:val="000000"/>
          <w:sz w:val="24"/>
        </w:rPr>
        <w:t xml:space="preserve">Opinion of Indiana Counsel for the Company. </w:t>
      </w:r>
      <w:r>
        <w:rPr>
          <w:rFonts w:ascii="Arial;sans-serif" w:hAnsi="Arial;sans-serif"/>
          <w:b w:val="false"/>
          <w:color w:val="000000"/>
          <w:sz w:val="24"/>
        </w:rPr>
        <w:t>Barnes &amp; Thornburg LLP, Indiana counsel for the Company, shall have furnished to the Underwriters, at the request of the Company, their written opinion, dated the Closing Date and addressed to the Underwriters, in form and substance reasonably satisfactory to the Underwriters.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4"/>
        </w:rPr>
        <w:t>(k)    </w:t>
      </w:r>
      <w:r>
        <w:rPr>
          <w:rFonts w:ascii="Arial;sans-serif" w:hAnsi="Arial;sans-serif"/>
          <w:b w:val="false"/>
          <w:i/>
          <w:color w:val="000000"/>
          <w:sz w:val="24"/>
        </w:rPr>
        <w:t>Opinion and 10b-5 Statement of Counsel for the Underwriters.</w:t>
      </w:r>
      <w:r>
        <w:rPr>
          <w:color w:val="000000"/>
        </w:rPr>
        <w:t xml:space="preserve"> </w:t>
      </w:r>
      <w:r>
        <w:rPr>
          <w:rFonts w:ascii="Arial;sans-serif" w:hAnsi="Arial;sans-serif"/>
          <w:b w:val="false"/>
          <w:color w:val="000000"/>
          <w:sz w:val="24"/>
        </w:rPr>
        <w:t>The Underwriters shall have received on and as of the Closing Date an opinion and 10b-5 statement of Davis Polk &amp; Wardwell LLP, counsel for the Underwriters, with respect to such matters as the Underwriters may reasonably request, and such counsel shall have received such documents and information as they may reasonably request to enable them to pass upon such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4"/>
        </w:rPr>
        <w:t>(l)    </w:t>
      </w:r>
      <w:r>
        <w:rPr>
          <w:rFonts w:ascii="Arial;sans-serif" w:hAnsi="Arial;sans-serif"/>
          <w:b w:val="false"/>
          <w:i/>
          <w:color w:val="000000"/>
          <w:sz w:val="24"/>
        </w:rPr>
        <w:t>No Legal Impediment to Issuance.</w:t>
      </w:r>
      <w:r>
        <w:rPr>
          <w:color w:val="000000"/>
        </w:rPr>
        <w:t xml:space="preserve"> </w:t>
      </w:r>
      <w:r>
        <w:rPr>
          <w:rFonts w:ascii="Arial;sans-serif" w:hAnsi="Arial;sans-serif"/>
          <w:b w:val="false"/>
          <w:color w:val="000000"/>
          <w:sz w:val="24"/>
        </w:rPr>
        <w:t>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(m)    </w:t>
      </w:r>
      <w:r>
        <w:rPr>
          <w:rFonts w:ascii="Arial;sans-serif" w:hAnsi="Arial;sans-serif"/>
          <w:b w:val="false"/>
          <w:i/>
          <w:color w:val="000000"/>
          <w:sz w:val="24"/>
        </w:rPr>
        <w:t>Good Standing</w:t>
      </w:r>
      <w:r>
        <w:rPr>
          <w:rFonts w:ascii="Arial;sans-serif" w:hAnsi="Arial;sans-serif"/>
          <w:b w:val="false"/>
          <w:color w:val="000000"/>
          <w:sz w:val="24"/>
        </w:rPr>
        <w:t xml:space="preserve">. The Underwriters shall have received on and as of the Closing Date satisfactory evidence of the good standing of the Company and the Significant Subsidiaries in their respective jurisdictions (to the extent the concept of good standing exists in such jurisdiction) of organization and their good standing in such other jurisdictions as the Underwriters may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69950"/>
                <wp:effectExtent l="0" t="0" r="0" b="0"/>
                <wp:wrapNone/>
                <wp:docPr id="26" name="Frame26"/>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request, in each case in writing or any standard form of telecommunication, from the appropriate governmental authorities of such jurisdictions.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Arial;sans-serif" w:hAnsi="Arial;sans-serif"/>
          <w:b w:val="false"/>
          <w:color w:val="000000"/>
          <w:sz w:val="24"/>
        </w:rPr>
        <w:t>(n)    </w:t>
      </w:r>
      <w:r>
        <w:rPr>
          <w:rFonts w:ascii="Arial;sans-serif" w:hAnsi="Arial;sans-serif"/>
          <w:b w:val="false"/>
          <w:i/>
          <w:color w:val="000000"/>
          <w:sz w:val="24"/>
        </w:rPr>
        <w:t>DTC.</w:t>
      </w:r>
      <w:r>
        <w:rPr>
          <w:color w:val="000000"/>
        </w:rPr>
        <w:t xml:space="preserve"> </w:t>
      </w:r>
      <w:r>
        <w:rPr>
          <w:rFonts w:ascii="Arial;sans-serif" w:hAnsi="Arial;sans-serif"/>
          <w:b w:val="false"/>
          <w:color w:val="000000"/>
          <w:sz w:val="24"/>
        </w:rPr>
        <w:t>The Securities shall be eligible for clearance and settlement through DTC.</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(o)    </w:t>
      </w:r>
      <w:r>
        <w:rPr>
          <w:rFonts w:ascii="Arial;sans-serif" w:hAnsi="Arial;sans-serif"/>
          <w:b w:val="false"/>
          <w:i/>
          <w:color w:val="000000"/>
          <w:sz w:val="24"/>
        </w:rPr>
        <w:t>Indenture and Securities.</w:t>
      </w:r>
      <w:r>
        <w:rPr>
          <w:color w:val="000000"/>
        </w:rPr>
        <w:t xml:space="preserve"> </w:t>
      </w:r>
      <w:r>
        <w:rPr>
          <w:rFonts w:ascii="Arial;sans-serif" w:hAnsi="Arial;sans-serif"/>
          <w:b w:val="false"/>
          <w:color w:val="000000"/>
          <w:sz w:val="24"/>
        </w:rPr>
        <w:t>The Indenture shall have been duly executed and delivered by a duly authorized officer of the Company and the Trustee, and the Securities shall have been duly executed and delivered by a duly authorized officer of the Company and duly authenticated by the Trustee.</w:t>
      </w:r>
    </w:p>
    <w:p>
      <w:pPr>
        <w:pStyle w:val="TextBody"/>
        <w:bidi w:val="0"/>
        <w:spacing w:lineRule="auto" w:line="288" w:before="0" w:after="0"/>
        <w:jc w:val="left"/>
        <w:rPr/>
      </w:pPr>
      <w:r>
        <w:rPr>
          <w:rFonts w:ascii="Arial;sans-serif" w:hAnsi="Arial;sans-serif"/>
          <w:b w:val="false"/>
          <w:color w:val="000000"/>
          <w:sz w:val="24"/>
        </w:rPr>
        <w:br/>
        <w:t>    (p)    </w:t>
      </w:r>
      <w:r>
        <w:rPr>
          <w:rFonts w:ascii="Arial;sans-serif" w:hAnsi="Arial;sans-serif"/>
          <w:b w:val="false"/>
          <w:i/>
          <w:color w:val="000000"/>
          <w:sz w:val="24"/>
        </w:rPr>
        <w:t>Additional Documents.</w:t>
      </w:r>
      <w:r>
        <w:rPr>
          <w:color w:val="000000"/>
        </w:rPr>
        <w:t xml:space="preserve"> </w:t>
      </w:r>
      <w:r>
        <w:rPr>
          <w:rFonts w:ascii="Arial;sans-serif" w:hAnsi="Arial;sans-serif"/>
          <w:b w:val="false"/>
          <w:color w:val="000000"/>
          <w:sz w:val="24"/>
        </w:rPr>
        <w:t>On or prior to the Closing Date, the Company shall have furnished to the Underwriters such further certificates and documents as the Underwriters may reasonably request.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7.    </w:t>
      </w:r>
      <w:r>
        <w:rPr>
          <w:rFonts w:ascii="Arial;sans-serif" w:hAnsi="Arial;sans-serif"/>
          <w:b w:val="false"/>
          <w:color w:val="000000"/>
          <w:sz w:val="24"/>
          <w:u w:val="single"/>
        </w:rPr>
        <w:t>Indemnification and Contribution</w:t>
      </w:r>
      <w:r>
        <w:rPr>
          <w:rFonts w:ascii="Arial;sans-serif" w:hAnsi="Arial;sans-serif"/>
          <w:b w:val="false"/>
          <w:color w:val="000000"/>
          <w:sz w:val="24"/>
        </w:rPr>
        <w:t xml:space="preserve">. </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(a)    </w:t>
      </w:r>
      <w:r>
        <w:rPr>
          <w:rFonts w:ascii="Arial;sans-serif" w:hAnsi="Arial;sans-serif"/>
          <w:b w:val="false"/>
          <w:i/>
          <w:color w:val="000000"/>
          <w:sz w:val="24"/>
        </w:rPr>
        <w:t>Indemnification of the Underwriters.</w:t>
      </w:r>
      <w:r>
        <w:rPr>
          <w:color w:val="000000"/>
        </w:rPr>
        <w:t xml:space="preserve"> </w:t>
      </w:r>
      <w:r>
        <w:rPr>
          <w:rFonts w:ascii="Arial;sans-serif" w:hAnsi="Arial;sans-serif"/>
          <w:b w:val="false"/>
          <w:color w:val="000000"/>
          <w:sz w:val="24"/>
        </w:rPr>
        <w:t xml:space="preserve">The Company agrees to indemnify and hold harmless each Underwriter, its affiliates, agents,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69950"/>
                <wp:effectExtent l="0" t="0" r="0" b="0"/>
                <wp:wrapNone/>
                <wp:docPr id="27" name="Frame27"/>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to any Underwriter furnished to the Company in writing by such Underwriter through the Representatives expressly for use therein.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(b)    </w:t>
      </w:r>
      <w:r>
        <w:rPr>
          <w:rFonts w:ascii="Arial;sans-serif" w:hAnsi="Arial;sans-serif"/>
          <w:b w:val="false"/>
          <w:i/>
          <w:color w:val="000000"/>
          <w:sz w:val="24"/>
        </w:rPr>
        <w:t>Indemnification of the Company.</w:t>
      </w:r>
      <w:r>
        <w:rPr>
          <w:color w:val="000000"/>
        </w:rPr>
        <w:t xml:space="preserve"> </w:t>
      </w:r>
      <w:r>
        <w:rPr>
          <w:rFonts w:ascii="Arial;sans-serif" w:hAnsi="Arial;sans-serif"/>
          <w:b w:val="false"/>
          <w:color w:val="000000"/>
          <w:sz w:val="24"/>
        </w:rPr>
        <w:t>Each Underwriter agrees, severally and not jointly, to indemnify and hold harmless (i) the Company, each of its directors and 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information set forth in the Preliminary Prospectus and the Prospectus under the caption “Underwriting”: the names of the Underwriters in paragraph 1, paragraph 4 (beginning “Notes sold by the underwriters…”) and paragraph 10 (concerning overallotment, stabilizing transactions and syndicate covering transactions).</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(c)    </w:t>
      </w:r>
      <w:r>
        <w:rPr>
          <w:rFonts w:ascii="Arial;sans-serif" w:hAnsi="Arial;sans-serif"/>
          <w:b w:val="false"/>
          <w:i/>
          <w:color w:val="000000"/>
          <w:sz w:val="24"/>
        </w:rPr>
        <w:t>Notice and Procedures.</w:t>
      </w:r>
      <w:r>
        <w:rPr>
          <w:color w:val="000000"/>
        </w:rPr>
        <w:t xml:space="preserve"> </w:t>
      </w:r>
      <w:r>
        <w:rPr>
          <w:rFonts w:ascii="Arial;sans-serif" w:hAnsi="Arial;sans-serif"/>
          <w:b w:val="false"/>
          <w:color w:val="000000"/>
          <w:sz w:val="24"/>
        </w:rPr>
        <w:t>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Arial;sans-serif" w:hAnsi="Arial;sans-serif"/>
          <w:b/>
          <w:color w:val="000000"/>
          <w:sz w:val="24"/>
        </w:rPr>
        <w:t>Indemnified Person</w:t>
      </w:r>
      <w:r>
        <w:rPr>
          <w:color w:val="000000"/>
        </w:rPr>
        <w:t>”</w:t>
      </w:r>
      <w:r>
        <w:rPr>
          <w:rFonts w:ascii="Arial;sans-serif" w:hAnsi="Arial;sans-serif"/>
          <w:b w:val="false"/>
          <w:color w:val="000000"/>
          <w:sz w:val="24"/>
        </w:rPr>
        <w:t>) shall promptly notify the person against whom such indemnification may be sought (the “</w:t>
      </w:r>
      <w:r>
        <w:rPr>
          <w:rFonts w:ascii="Arial;sans-serif" w:hAnsi="Arial;sans-serif"/>
          <w:b/>
          <w:color w:val="000000"/>
          <w:sz w:val="24"/>
        </w:rPr>
        <w:t>Indemnifying Person</w:t>
      </w:r>
      <w:r>
        <w:rPr>
          <w:color w:val="000000"/>
        </w:rPr>
        <w:t>”</w:t>
      </w:r>
      <w:r>
        <w:rPr>
          <w:rFonts w:ascii="Arial;sans-serif" w:hAnsi="Arial;sans-serif"/>
          <w:b w:val="false"/>
          <w:color w:val="000000"/>
          <w:sz w:val="24"/>
        </w:rPr>
        <w:t xml:space="preserve">) in writing; </w:t>
      </w:r>
      <w:r>
        <w:rPr>
          <w:rFonts w:ascii="Arial;sans-serif" w:hAnsi="Arial;sans-serif"/>
          <w:b w:val="false"/>
          <w:color w:val="000000"/>
          <w:sz w:val="24"/>
          <w:u w:val="single"/>
        </w:rPr>
        <w:t>provided</w:t>
      </w:r>
      <w:r>
        <w:rPr>
          <w:color w:val="000000"/>
        </w:rPr>
        <w:t xml:space="preserve"> </w:t>
      </w:r>
      <w:r>
        <w:rPr>
          <w:rFonts w:ascii="Arial;sans-serif" w:hAnsi="Arial;sans-serif"/>
          <w:b w:val="false"/>
          <w:color w:val="000000"/>
          <w:sz w:val="24"/>
        </w:rPr>
        <w:t xml:space="preserve">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Arial;sans-serif" w:hAnsi="Arial;sans-serif"/>
          <w:b w:val="false"/>
          <w:color w:val="000000"/>
          <w:sz w:val="24"/>
          <w:u w:val="single"/>
        </w:rPr>
        <w:t>provided</w:t>
      </w:r>
      <w:r>
        <w:rPr>
          <w:rFonts w:ascii="Arial;sans-serif" w:hAnsi="Arial;sans-serif"/>
          <w:b w:val="false"/>
          <w:color w:val="000000"/>
          <w:sz w:val="24"/>
        </w:rPr>
        <w:t xml:space="preserve">, </w:t>
      </w:r>
      <w:r>
        <w:rPr>
          <w:rFonts w:ascii="Arial;sans-serif" w:hAnsi="Arial;sans-serif"/>
          <w:b w:val="false"/>
          <w:color w:val="000000"/>
          <w:sz w:val="24"/>
          <w:u w:val="single"/>
        </w:rPr>
        <w:t>further</w:t>
      </w:r>
      <w:r>
        <w:rPr>
          <w:rFonts w:ascii="Arial;sans-serif" w:hAnsi="Arial;sans-serif"/>
          <w:b w:val="false"/>
          <w:color w:val="000000"/>
          <w:sz w:val="24"/>
        </w:rPr>
        <w:t xml:space="preserve">,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fees and expenses of such counsel related to such proceeding, as incurred. In any such proceeding, any Indemnified Person shall have the right to retain its own counsel, but the fees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69950"/>
                <wp:effectExtent l="0" t="0" r="0" b="0"/>
                <wp:wrapNone/>
                <wp:docPr id="28" name="Frame28"/>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4"/>
        </w:rPr>
        <w:t>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w:t>
      </w:r>
      <w:r>
        <w:rPr>
          <w:color w:val="000000"/>
        </w:rPr>
        <w:t> </w:t>
      </w:r>
      <w:r>
        <w:rPr>
          <w:rFonts w:ascii="Arial;sans-serif" w:hAnsi="Arial;sans-serif"/>
          <w:b w:val="false"/>
          <w:color w:val="000000"/>
          <w:sz w:val="24"/>
        </w:rPr>
        <w:t>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for any Underwriter, its affiliates, agents, directors and officers and any control persons of such Underwriter shall be designated in writing by the Representatives and any such separate firm for the Company, its directors and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(d)    </w:t>
      </w:r>
      <w:r>
        <w:rPr>
          <w:rFonts w:ascii="Arial;sans-serif" w:hAnsi="Arial;sans-serif"/>
          <w:b w:val="false"/>
          <w:i/>
          <w:color w:val="000000"/>
          <w:sz w:val="24"/>
        </w:rPr>
        <w:t>Contribution.</w:t>
      </w:r>
      <w:r>
        <w:rPr>
          <w:color w:val="000000"/>
        </w:rPr>
        <w:t xml:space="preserve"> </w:t>
      </w:r>
      <w:r>
        <w:rPr>
          <w:rFonts w:ascii="Arial;sans-serif" w:hAnsi="Arial;sans-serif"/>
          <w:b w:val="false"/>
          <w:color w:val="000000"/>
          <w:sz w:val="24"/>
        </w:rPr>
        <w:t xml:space="preserve">If the indemnification provided for in paragraph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69950"/>
                <wp:effectExtent l="0" t="0" r="0" b="0"/>
                <wp:wrapNone/>
                <wp:docPr id="29" name="Frame29"/>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as provided in this Agreement,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(e)    </w:t>
      </w:r>
      <w:r>
        <w:rPr>
          <w:rFonts w:ascii="Arial;sans-serif" w:hAnsi="Arial;sans-serif"/>
          <w:b w:val="false"/>
          <w:i/>
          <w:color w:val="000000"/>
          <w:sz w:val="24"/>
        </w:rPr>
        <w:t>Limitation on Liability.</w:t>
      </w:r>
      <w:r>
        <w:rPr>
          <w:color w:val="000000"/>
        </w:rPr>
        <w:t xml:space="preserve"> </w:t>
      </w:r>
      <w:r>
        <w:rPr>
          <w:rFonts w:ascii="Arial;sans-serif" w:hAnsi="Arial;sans-serif"/>
          <w:b w:val="false"/>
          <w:color w:val="000000"/>
          <w:sz w:val="24"/>
        </w:rPr>
        <w:t xml:space="preserve">The Company and the Underwriters agree that it would not be just and equitable if contribution pursuant to this Section 7 were determined by </w:t>
      </w:r>
      <w:r>
        <w:rPr>
          <w:rFonts w:ascii="Arial;sans-serif" w:hAnsi="Arial;sans-serif"/>
          <w:b w:val="false"/>
          <w:color w:val="000000"/>
          <w:sz w:val="24"/>
          <w:u w:val="single"/>
        </w:rPr>
        <w:t>pro</w:t>
      </w:r>
      <w:r>
        <w:rPr>
          <w:color w:val="000000"/>
        </w:rPr>
        <w:t xml:space="preserve"> </w:t>
      </w:r>
      <w:r>
        <w:rPr>
          <w:rFonts w:ascii="Arial;sans-serif" w:hAnsi="Arial;sans-serif"/>
          <w:b w:val="false"/>
          <w:color w:val="000000"/>
          <w:sz w:val="24"/>
          <w:u w:val="single"/>
        </w:rPr>
        <w:t>rata</w:t>
      </w:r>
      <w:r>
        <w:rPr>
          <w:color w:val="000000"/>
        </w:rPr>
        <w:t xml:space="preserve"> </w:t>
      </w:r>
      <w:r>
        <w:rPr>
          <w:rFonts w:ascii="Arial;sans-serif" w:hAnsi="Arial;sans-serif"/>
          <w:b w:val="false"/>
          <w:color w:val="000000"/>
          <w:sz w:val="24"/>
        </w:rPr>
        <w:t>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4"/>
        </w:rPr>
        <w:t>(f)    </w:t>
      </w:r>
      <w:r>
        <w:rPr>
          <w:rFonts w:ascii="Arial;sans-serif" w:hAnsi="Arial;sans-serif"/>
          <w:b w:val="false"/>
          <w:i/>
          <w:color w:val="000000"/>
          <w:sz w:val="24"/>
        </w:rPr>
        <w:t>Non-Exclusive Remedies.</w:t>
      </w:r>
      <w:r>
        <w:rPr>
          <w:color w:val="000000"/>
        </w:rPr>
        <w:t xml:space="preserve"> </w:t>
      </w:r>
      <w:r>
        <w:rPr>
          <w:rFonts w:ascii="Arial;sans-serif" w:hAnsi="Arial;sans-serif"/>
          <w:b w:val="false"/>
          <w:color w:val="000000"/>
          <w:sz w:val="24"/>
        </w:rPr>
        <w:t>The remedies provided for in this Section 7 are not exclusive and shall not limit any rights or remedies that may otherwise be available to any Indemnified Person at law or in equity.</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8.    </w:t>
      </w:r>
      <w:r>
        <w:rPr>
          <w:rFonts w:ascii="Arial;sans-serif" w:hAnsi="Arial;sans-serif"/>
          <w:b w:val="false"/>
          <w:color w:val="000000"/>
          <w:sz w:val="24"/>
          <w:u w:val="single"/>
        </w:rPr>
        <w:t>Termination</w:t>
      </w:r>
      <w:r>
        <w:rPr>
          <w:rFonts w:ascii="Arial;sans-serif" w:hAnsi="Arial;sans-serif"/>
          <w:b w:val="false"/>
          <w:color w:val="000000"/>
          <w:sz w:val="24"/>
        </w:rPr>
        <w:t xml:space="preserve">. This Agreement may be terminated in the absolute discretion of the Representatives, by notice to the Company, if after the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69950"/>
                <wp:effectExtent l="0" t="0" r="0" b="0"/>
                <wp:wrapNone/>
                <wp:docPr id="30" name="Frame30"/>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execution and delivery of this Agreement and on or prior to the Closing Date (i) trading generally shall have been suspended or materially limited on the New York Stock Exchange or the over-the-counter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9.    [Intentionally Omitted</w:t>
      </w:r>
      <w:r>
        <w:rPr>
          <w:rFonts w:ascii="Arial;sans-serif" w:hAnsi="Arial;sans-serif"/>
          <w:b w:val="false"/>
          <w:color w:val="000000"/>
          <w:sz w:val="24"/>
          <w:u w:val="single"/>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10.    </w:t>
      </w:r>
      <w:r>
        <w:rPr>
          <w:rFonts w:ascii="Arial;sans-serif" w:hAnsi="Arial;sans-serif"/>
          <w:b w:val="false"/>
          <w:color w:val="000000"/>
          <w:sz w:val="24"/>
          <w:u w:val="single"/>
        </w:rPr>
        <w:t>Defaulting Underwriter</w:t>
      </w:r>
      <w:r>
        <w:rPr>
          <w:rFonts w:ascii="Arial;sans-serif" w:hAnsi="Arial;sans-serif"/>
          <w:b w:val="false"/>
          <w:color w:val="000000"/>
          <w:sz w:val="24"/>
        </w:rPr>
        <w:t>. (a)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necessary to effect any such changes. As used in this Agreement, the term “</w:t>
      </w:r>
      <w:r>
        <w:rPr>
          <w:rFonts w:ascii="Arial;sans-serif" w:hAnsi="Arial;sans-serif"/>
          <w:b/>
          <w:color w:val="000000"/>
          <w:sz w:val="24"/>
        </w:rPr>
        <w:t>Underwriter</w:t>
      </w:r>
      <w:r>
        <w:rPr>
          <w:color w:val="000000"/>
        </w:rPr>
        <w:t xml:space="preserve">” </w:t>
      </w:r>
      <w:r>
        <w:rPr>
          <w:rFonts w:ascii="Arial;sans-serif" w:hAnsi="Arial;sans-serif"/>
          <w:b w:val="false"/>
          <w:color w:val="000000"/>
          <w:sz w:val="24"/>
        </w:rPr>
        <w:t>includes, for all purposes of this Agreement unless the context otherwise requires, any person not listed in Schedule 1 hereto that, pursuant to this Section 10, purchases Securities that a defaulting Underwriter agreed but failed to purchase.</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Arial;sans-serif" w:hAnsi="Arial;sans-serif"/>
          <w:b w:val="false"/>
          <w:color w:val="000000"/>
          <w:sz w:val="24"/>
        </w:rPr>
        <w:t xml:space="preserve">(b)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69950"/>
                <wp:effectExtent l="0" t="0" r="0" b="0"/>
                <wp:wrapNone/>
                <wp:docPr id="31" name="Frame31"/>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4"/>
        </w:rPr>
        <w:t xml:space="preserve">then the Company shall have the right to require each non-defaulting Underwriter to purchase the principal amount of Securities that such Underwriter agreed to purchase hereunder plus such Underwriter’s </w:t>
      </w:r>
      <w:r>
        <w:rPr>
          <w:rFonts w:ascii="Arial;sans-serif" w:hAnsi="Arial;sans-serif"/>
          <w:b w:val="false"/>
          <w:color w:val="000000"/>
          <w:sz w:val="24"/>
          <w:u w:val="single"/>
        </w:rPr>
        <w:t>pro</w:t>
      </w:r>
      <w:r>
        <w:rPr>
          <w:color w:val="000000"/>
        </w:rPr>
        <w:t xml:space="preserve"> </w:t>
      </w:r>
      <w:r>
        <w:rPr>
          <w:rFonts w:ascii="Arial;sans-serif" w:hAnsi="Arial;sans-serif"/>
          <w:b w:val="false"/>
          <w:color w:val="000000"/>
          <w:sz w:val="24"/>
          <w:u w:val="single"/>
        </w:rPr>
        <w:t>rata</w:t>
      </w:r>
      <w:r>
        <w:rPr>
          <w:color w:val="000000"/>
        </w:rPr>
        <w:t xml:space="preserve"> </w:t>
      </w:r>
      <w:r>
        <w:rPr>
          <w:rFonts w:ascii="Arial;sans-serif" w:hAnsi="Arial;sans-serif"/>
          <w:b w:val="false"/>
          <w:color w:val="000000"/>
          <w:sz w:val="24"/>
        </w:rPr>
        <w:t>share (based on the principal amount of Securities that such Underwriter agreed to purchase hereunder) of the Securities of such defaulting Underwriter or Underwriters for which such arrangements have not been made.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(c)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(d)    Nothing contained herein shall relieve a defaulting Underwriter of any liability it may have to the Company or any non-defaulting Underwriter for damages caused by its default.</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11.    </w:t>
      </w:r>
      <w:r>
        <w:rPr>
          <w:rFonts w:ascii="Arial;sans-serif" w:hAnsi="Arial;sans-serif"/>
          <w:b w:val="false"/>
          <w:color w:val="000000"/>
          <w:sz w:val="24"/>
          <w:u w:val="single"/>
        </w:rPr>
        <w:t>Payment of Expenses</w:t>
      </w:r>
      <w:r>
        <w:rPr>
          <w:rFonts w:ascii="Arial;sans-serif" w:hAnsi="Arial;sans-serif"/>
          <w:b w:val="false"/>
          <w:i/>
          <w:color w:val="000000"/>
          <w:sz w:val="24"/>
        </w:rPr>
        <w:t>.</w:t>
      </w:r>
      <w:r>
        <w:rPr>
          <w:color w:val="000000"/>
        </w:rPr>
        <w:t xml:space="preserve"> </w:t>
      </w:r>
      <w:r>
        <w:rPr>
          <w:rFonts w:ascii="Arial;sans-serif" w:hAnsi="Arial;sans-serif"/>
          <w:b w:val="false"/>
          <w:color w:val="000000"/>
          <w:sz w:val="24"/>
        </w:rPr>
        <w:t xml:space="preserve">(a) Whether or not the transactions contemplated by this Agreement are consummated or this Agreement is terminated, the Company agrees to pay or cause to be paid all costs and expenses incident to the performance of their respective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in each case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69950"/>
                <wp:effectExtent l="0" t="0" r="0" b="0"/>
                <wp:wrapNone/>
                <wp:docPr id="32" name="Frame32"/>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parties); (viii) all expenses and application fees incurred in connection with any filing with, and clearance of the offering of the Securities by, the Financial Industry Regulatory Authority, and the approval of the Securities for book-entry transfer through DTC; and (ix) all expenses incurred by the Company in connection with any “road show” presentation to potential investors.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(b)    If (i) this Agreement is terminated pursuant to Section 8(ii), (ii) the Company for any reason fails to tender the Securities for delivery to the Underwriters or (iii) the Underwriters decline to purchase the Securities for any reason permitted under this Agreement, the Company agrees to reimburse the Underwriters for all out-of-pocket costs and expenses (including the fees and expenses of their counsel) reasonably incurred by the Underwriters in connection with this Agreement and the offering of the Securities contemplated hereby.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 xml:space="preserve">(c)     Except as set forth in this Section 11, the Underwriters shall be responsible for their fees and expenses related to the offering of the Securities. Each Underwriter shall be responsible to the other Underwriters for its </w:t>
      </w:r>
      <w:r>
        <w:rPr>
          <w:rFonts w:ascii="Arial;sans-serif" w:hAnsi="Arial;sans-serif"/>
          <w:b w:val="false"/>
          <w:color w:val="000000"/>
          <w:sz w:val="24"/>
          <w:u w:val="single"/>
        </w:rPr>
        <w:t>pro</w:t>
      </w:r>
      <w:r>
        <w:rPr>
          <w:color w:val="000000"/>
        </w:rPr>
        <w:t xml:space="preserve"> </w:t>
      </w:r>
      <w:r>
        <w:rPr>
          <w:rFonts w:ascii="Arial;sans-serif" w:hAnsi="Arial;sans-serif"/>
          <w:b w:val="false"/>
          <w:color w:val="000000"/>
          <w:sz w:val="24"/>
          <w:u w:val="single"/>
        </w:rPr>
        <w:t>rata</w:t>
      </w:r>
      <w:r>
        <w:rPr>
          <w:color w:val="000000"/>
        </w:rPr>
        <w:t xml:space="preserve"> </w:t>
      </w:r>
      <w:r>
        <w:rPr>
          <w:rFonts w:ascii="Arial;sans-serif" w:hAnsi="Arial;sans-serif"/>
          <w:b w:val="false"/>
          <w:color w:val="000000"/>
          <w:sz w:val="24"/>
        </w:rPr>
        <w:t>share (based on the principal amount of Securities that such Underwriter agreed to purchase hereunder) of the Underwriters’ total fees and expenses related to the offering of the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Arial;sans-serif" w:hAnsi="Arial;sans-serif"/>
          <w:b w:val="false"/>
          <w:color w:val="000000"/>
          <w:sz w:val="24"/>
        </w:rPr>
        <w:t>12.    </w:t>
      </w:r>
      <w:r>
        <w:rPr>
          <w:rFonts w:ascii="Arial;sans-serif" w:hAnsi="Arial;sans-serif"/>
          <w:b w:val="false"/>
          <w:color w:val="000000"/>
          <w:sz w:val="24"/>
          <w:u w:val="single"/>
        </w:rPr>
        <w:t>Persons Entitled to Benefit of Agreement</w:t>
      </w:r>
      <w:r>
        <w:rPr>
          <w:rFonts w:ascii="Arial;sans-serif" w:hAnsi="Arial;sans-serif"/>
          <w:b w:val="false"/>
          <w:color w:val="000000"/>
          <w:sz w:val="24"/>
        </w:rPr>
        <w:t>. This Agreement shall inure to the benefit of and be binding upon the parties hereto and their respective successors and any controlling persons referred to herein, and the affiliates, agents, officers and directors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4"/>
        </w:rPr>
        <w:t>13.    </w:t>
      </w:r>
      <w:r>
        <w:rPr>
          <w:rFonts w:ascii="Arial;sans-serif" w:hAnsi="Arial;sans-serif"/>
          <w:b w:val="false"/>
          <w:color w:val="000000"/>
          <w:sz w:val="24"/>
          <w:u w:val="single"/>
        </w:rPr>
        <w:t>Survival</w:t>
      </w:r>
      <w:r>
        <w:rPr>
          <w:rFonts w:ascii="Arial;sans-serif" w:hAnsi="Arial;sans-serif"/>
          <w:b w:val="false"/>
          <w:color w:val="000000"/>
          <w:sz w:val="24"/>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pStyle w:val="TextBody"/>
        <w:bidi w:val="0"/>
        <w:spacing w:before="0" w:after="0"/>
        <w:jc w:val="left"/>
        <w:rPr/>
      </w:pPr>
      <w:r>
        <w:rPr/>
      </w:r>
    </w:p>
    <w:p>
      <w:pPr>
        <w:pStyle w:val="TextBody"/>
        <w:bidi w:val="0"/>
        <w:spacing w:lineRule="auto" w:line="288"/>
        <w:jc w:val="left"/>
        <w:rPr/>
      </w:pPr>
      <w:r>
        <w:rPr>
          <w:color w:val="000000"/>
        </w:rPr>
        <w:t>    </w:t>
      </w:r>
      <w:r>
        <w:rPr>
          <w:rFonts w:ascii="Arial;sans-serif" w:hAnsi="Arial;sans-serif"/>
          <w:b w:val="false"/>
          <w:color w:val="000000"/>
          <w:sz w:val="24"/>
        </w:rPr>
        <w:t>14.    </w:t>
      </w:r>
      <w:r>
        <w:rPr>
          <w:rFonts w:ascii="Arial;sans-serif" w:hAnsi="Arial;sans-serif"/>
          <w:b w:val="false"/>
          <w:color w:val="000000"/>
          <w:sz w:val="24"/>
          <w:u w:val="single"/>
        </w:rPr>
        <w:t>Certain Defined Terms</w:t>
      </w:r>
      <w:r>
        <w:rPr>
          <w:rFonts w:ascii="Arial;sans-serif" w:hAnsi="Arial;sans-serif"/>
          <w:b w:val="false"/>
          <w:color w:val="000000"/>
          <w:sz w:val="24"/>
        </w:rPr>
        <w:t xml:space="preserve">. For purposes of this Agreement, (a) except where otherwise expressly provided, the term “affiliate” has the meaning set forth in Rule 405 under the Securities Act; (b) the term “business day”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69950"/>
                <wp:effectExtent l="0" t="0" r="0" b="0"/>
                <wp:wrapNone/>
                <wp:docPr id="33" name="Frame33"/>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29</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29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means any day other than a day on which banks are permitted or required to be closed in New York City; and (c) the term “subsidiary” has the meaning set forth in Rule 405 under the Securities Act.</w:t>
      </w:r>
    </w:p>
    <w:p>
      <w:pPr>
        <w:pStyle w:val="TextBody"/>
        <w:bidi w:val="0"/>
        <w:spacing w:before="0" w:after="0"/>
        <w:jc w:val="left"/>
        <w:rPr/>
      </w:pPr>
      <w:r>
        <w:rPr/>
      </w:r>
    </w:p>
    <w:p>
      <w:pPr>
        <w:pStyle w:val="TextBody"/>
        <w:bidi w:val="0"/>
        <w:spacing w:lineRule="auto" w:line="288" w:before="0" w:after="240"/>
        <w:jc w:val="left"/>
        <w:rPr/>
      </w:pPr>
      <w:r>
        <w:rPr>
          <w:color w:val="000000"/>
        </w:rPr>
        <w:t>        </w:t>
      </w:r>
      <w:r>
        <w:rPr>
          <w:rFonts w:ascii="Arial;sans-serif" w:hAnsi="Arial;sans-serif"/>
          <w:b w:val="false"/>
          <w:color w:val="000000"/>
          <w:sz w:val="24"/>
        </w:rPr>
        <w:t>15.     </w:t>
      </w:r>
      <w:r>
        <w:rPr>
          <w:rFonts w:ascii="Arial;sans-serif" w:hAnsi="Arial;sans-serif"/>
          <w:b w:val="false"/>
          <w:color w:val="000000"/>
          <w:sz w:val="24"/>
          <w:u w:val="single"/>
        </w:rPr>
        <w:t>Recognition of the U.S. Special Resolution Regimes.</w:t>
      </w:r>
    </w:p>
    <w:p>
      <w:pPr>
        <w:pStyle w:val="TextBody"/>
        <w:bidi w:val="0"/>
        <w:spacing w:before="0" w:after="0"/>
        <w:jc w:val="both"/>
        <w:rPr/>
      </w:pPr>
      <w:r>
        <w:rPr/>
      </w:r>
    </w:p>
    <w:p>
      <w:pPr>
        <w:pStyle w:val="TextBody"/>
        <w:bidi w:val="0"/>
        <w:spacing w:lineRule="auto" w:line="288" w:before="0" w:after="0"/>
        <w:ind w:left="0" w:right="0" w:firstLine="1440"/>
        <w:jc w:val="both"/>
        <w:rPr>
          <w:rFonts w:ascii="Arial;sans-serif" w:hAnsi="Arial;sans-serif"/>
          <w:b w:val="false"/>
          <w:color w:val="000000"/>
          <w:sz w:val="24"/>
        </w:rPr>
      </w:pPr>
      <w:r>
        <w:rPr>
          <w:rFonts w:ascii="Arial;sans-serif" w:hAnsi="Arial;sans-serif"/>
          <w:b w:val="false"/>
          <w:color w:val="000000"/>
          <w:sz w:val="24"/>
        </w:rPr>
        <w:t>(a)In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jc w:val="both"/>
        <w:rPr/>
      </w:pPr>
      <w:r>
        <w:rPr/>
      </w:r>
    </w:p>
    <w:p>
      <w:pPr>
        <w:pStyle w:val="TextBody"/>
        <w:bidi w:val="0"/>
        <w:spacing w:lineRule="auto" w:line="288" w:before="0" w:after="0"/>
        <w:ind w:left="0" w:right="0" w:firstLine="1440"/>
        <w:jc w:val="both"/>
        <w:rPr>
          <w:rFonts w:ascii="Arial;sans-serif" w:hAnsi="Arial;sans-serif"/>
          <w:b w:val="false"/>
          <w:color w:val="000000"/>
          <w:sz w:val="24"/>
        </w:rPr>
      </w:pPr>
      <w:r>
        <w:rPr>
          <w:rFonts w:ascii="Arial;sans-serif" w:hAnsi="Arial;sans-serif"/>
          <w:b w:val="false"/>
          <w:color w:val="000000"/>
          <w:sz w:val="24"/>
        </w:rPr>
        <w:t>(b)In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color w:val="000000"/>
          <w:sz w:val="24"/>
        </w:rPr>
        <w:t>BHC Act Affiliate</w:t>
      </w:r>
      <w:r>
        <w:rPr>
          <w:color w:val="000000"/>
        </w:rPr>
        <w:t xml:space="preserve">” </w:t>
      </w:r>
      <w:r>
        <w:rPr>
          <w:rFonts w:ascii="Arial;sans-serif" w:hAnsi="Arial;sans-serif"/>
          <w:b w:val="false"/>
          <w:color w:val="000000"/>
          <w:sz w:val="24"/>
        </w:rPr>
        <w:t>has the meaning assigned to the term “affiliate” in, and shall be interpreted in accordance with, 12 U.S.C. § 1841(k).</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color w:val="000000"/>
          <w:sz w:val="24"/>
        </w:rPr>
        <w:t>Covered Entity</w:t>
      </w:r>
      <w:r>
        <w:rPr>
          <w:color w:val="000000"/>
        </w:rPr>
        <w:t xml:space="preserve">” </w:t>
      </w:r>
      <w:r>
        <w:rPr>
          <w:rFonts w:ascii="Arial;sans-serif" w:hAnsi="Arial;sans-serif"/>
          <w:b w:val="false"/>
          <w:color w:val="000000"/>
          <w:sz w:val="24"/>
        </w:rPr>
        <w:t>means any of the following:</w:t>
      </w:r>
    </w:p>
    <w:p>
      <w:pPr>
        <w:pStyle w:val="TextBody"/>
        <w:bidi w:val="0"/>
        <w:spacing w:lineRule="auto" w:line="288" w:before="0" w:after="0"/>
        <w:ind w:left="0" w:right="0" w:hanging="720"/>
        <w:jc w:val="both"/>
        <w:rPr>
          <w:rFonts w:ascii="Arial;sans-serif" w:hAnsi="Arial;sans-serif"/>
          <w:b w:val="false"/>
          <w:color w:val="000000"/>
          <w:sz w:val="24"/>
        </w:rPr>
      </w:pPr>
      <w:r>
        <w:rPr>
          <w:rFonts w:ascii="Arial;sans-serif" w:hAnsi="Arial;sans-serif"/>
          <w:b w:val="false"/>
          <w:color w:val="000000"/>
          <w:sz w:val="24"/>
        </w:rPr>
        <w:t>(i)a “covered entity” as that term is defined in, and interpreted in accordance with, 12 C.F.R. § 252.82(b);</w:t>
      </w:r>
    </w:p>
    <w:p>
      <w:pPr>
        <w:pStyle w:val="TextBody"/>
        <w:bidi w:val="0"/>
        <w:spacing w:before="0" w:after="0"/>
        <w:jc w:val="left"/>
        <w:rPr/>
      </w:pPr>
      <w:r>
        <w:rPr/>
      </w:r>
    </w:p>
    <w:p>
      <w:pPr>
        <w:pStyle w:val="TextBody"/>
        <w:bidi w:val="0"/>
        <w:spacing w:lineRule="auto" w:line="288" w:before="0" w:after="0"/>
        <w:ind w:left="0" w:right="0" w:hanging="720"/>
        <w:jc w:val="both"/>
        <w:rPr>
          <w:rFonts w:ascii="Arial;sans-serif" w:hAnsi="Arial;sans-serif"/>
          <w:b w:val="false"/>
          <w:color w:val="000000"/>
          <w:sz w:val="24"/>
        </w:rPr>
      </w:pPr>
      <w:r>
        <w:rPr>
          <w:rFonts w:ascii="Arial;sans-serif" w:hAnsi="Arial;sans-serif"/>
          <w:b w:val="false"/>
          <w:color w:val="000000"/>
          <w:sz w:val="24"/>
        </w:rPr>
        <w:t>(ii)a “covered bank” as that term is defined in, and interpreted in accordance with, 12 C.F.R. § 47.3(b); or</w:t>
      </w:r>
    </w:p>
    <w:p>
      <w:pPr>
        <w:pStyle w:val="TextBody"/>
        <w:bidi w:val="0"/>
        <w:spacing w:before="0" w:after="0"/>
        <w:jc w:val="left"/>
        <w:rPr/>
      </w:pPr>
      <w:r>
        <w:rPr/>
      </w:r>
    </w:p>
    <w:p>
      <w:pPr>
        <w:pStyle w:val="TextBody"/>
        <w:bidi w:val="0"/>
        <w:spacing w:lineRule="auto" w:line="288" w:before="0" w:after="0"/>
        <w:ind w:left="0" w:right="0" w:hanging="720"/>
        <w:jc w:val="both"/>
        <w:rPr>
          <w:rFonts w:ascii="Arial;sans-serif" w:hAnsi="Arial;sans-serif"/>
          <w:b w:val="false"/>
          <w:color w:val="000000"/>
          <w:sz w:val="24"/>
        </w:rPr>
      </w:pPr>
      <w:r>
        <w:rPr>
          <w:rFonts w:ascii="Arial;sans-serif" w:hAnsi="Arial;sans-serif"/>
          <w:b w:val="false"/>
          <w:color w:val="000000"/>
          <w:sz w:val="24"/>
        </w:rPr>
        <w:t>(iii)a “covered FSI” as that term is defined in, and interpreted in accordance with, 12 C.F.R. § 382.2(b).</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Arial;sans-serif" w:hAnsi="Arial;sans-serif"/>
          <w:b/>
          <w:color w:val="000000"/>
          <w:sz w:val="24"/>
        </w:rPr>
        <w:t>Default Right</w:t>
      </w:r>
      <w:r>
        <w:rPr>
          <w:color w:val="000000"/>
        </w:rPr>
        <w:t xml:space="preserve">” </w:t>
      </w:r>
      <w:r>
        <w:rPr>
          <w:rFonts w:ascii="Arial;sans-serif" w:hAnsi="Arial;sans-serif"/>
          <w:b w:val="false"/>
          <w:color w:val="000000"/>
          <w:sz w:val="24"/>
        </w:rPr>
        <w:t>has the meaning assigned to that term in, and shall be interpreted in accordance with, 12 C.F.R. §§ 252.81, 47.2 or 382.1, as applicable.</w:t>
      </w:r>
    </w:p>
    <w:p>
      <w:pPr>
        <w:pStyle w:val="TextBody"/>
        <w:bidi w:val="0"/>
        <w:spacing w:before="0" w:after="0"/>
        <w:jc w:val="both"/>
        <w:rPr/>
      </w:pPr>
      <w:r>
        <w:rPr/>
      </w:r>
    </w:p>
    <w:p>
      <w:pPr>
        <w:pStyle w:val="TextBody"/>
        <w:bidi w:val="0"/>
        <w:spacing w:lineRule="auto" w:line="288"/>
        <w:jc w:val="left"/>
        <w:rPr/>
      </w:pPr>
      <w:r>
        <w:rPr>
          <w:color w:val="000000"/>
        </w:rPr>
        <w:t>    “</w:t>
      </w:r>
      <w:r>
        <w:rPr>
          <w:rFonts w:ascii="Arial;sans-serif" w:hAnsi="Arial;sans-serif"/>
          <w:b/>
          <w:color w:val="000000"/>
          <w:sz w:val="24"/>
        </w:rPr>
        <w:t>U.S. Special Resolution Regime</w:t>
      </w:r>
      <w:r>
        <w:rPr>
          <w:color w:val="000000"/>
        </w:rPr>
        <w:t xml:space="preserve">” </w:t>
      </w:r>
      <w:r>
        <w:rPr>
          <w:rFonts w:ascii="Arial;sans-serif" w:hAnsi="Arial;sans-serif"/>
          <w:b w:val="false"/>
          <w:color w:val="000000"/>
          <w:sz w:val="24"/>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69950"/>
                <wp:effectExtent l="0" t="0" r="0" b="0"/>
                <wp:wrapNone/>
                <wp:docPr id="34" name="Frame34"/>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30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30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4"/>
        </w:rPr>
        <w:t>16.    </w:t>
      </w:r>
      <w:r>
        <w:rPr>
          <w:rFonts w:ascii="Arial;sans-serif" w:hAnsi="Arial;sans-serif"/>
          <w:b w:val="false"/>
          <w:color w:val="000000"/>
          <w:sz w:val="24"/>
          <w:u w:val="single"/>
        </w:rPr>
        <w:t>Miscellaneous</w:t>
      </w:r>
      <w:r>
        <w:rPr>
          <w:rFonts w:ascii="Arial;sans-serif" w:hAnsi="Arial;sans-serif"/>
          <w:b w:val="false"/>
          <w:color w:val="000000"/>
          <w:sz w:val="24"/>
        </w:rPr>
        <w:t xml:space="preserve">. (a)     Notices. All notices and other communications hereunder shall be in writing and shall be deemed to have been duly given if mailed or transmitted and confirmed by any standard form of telecommunication. Notices to the Underwriters shall be given to the Representatives c/o Citigroup Global Markets Inc., 388 Greenwich Street, New York, NY 10013, facsimile: 646-291-1469, Attention: General Counsel; ING Financial Markets LLC, 1133 Avenue of the Americas, New York, NY 10036, Attention: Syndicate Desk, ING New York Toll Free: +1 (877) 446-4930; J.P. Morgan Securities LLC, 270 Park Avenue, New York, NY 10017, facsimile: (212) 834-6081, Attention: Investment Grade Syndicate; BNP Paribas Securities Corp. 787 Seventh Avenue New York, New York 10019 Attention: Debt Syndicate Desk, Email: DL.US.Syndicate.Support@us.bnpparibas.com and Wells Fargo Securities, LLC, 550 South Tryon Street, 5th Floor, Charlotte, North Carolina 28202, Attention: Transaction Management (email: tmgcapitalmarkets@wellsfargo.com). Notices to the Company shall be given to them at Xylem: 301 Water Street SE, Washington, DC 20003; Attention: Corporate Secretary.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(b)    </w:t>
      </w:r>
      <w:r>
        <w:rPr>
          <w:rFonts w:ascii="Arial;sans-serif" w:hAnsi="Arial;sans-serif"/>
          <w:b w:val="false"/>
          <w:i/>
          <w:color w:val="000000"/>
          <w:sz w:val="24"/>
        </w:rPr>
        <w:t>Governing Law.</w:t>
      </w:r>
      <w:r>
        <w:rPr>
          <w:color w:val="000000"/>
        </w:rPr>
        <w:t xml:space="preserve"> </w:t>
      </w:r>
      <w:r>
        <w:rPr>
          <w:rFonts w:ascii="Arial;sans-serif" w:hAnsi="Arial;sans-serif"/>
          <w:b w:val="false"/>
          <w:color w:val="000000"/>
          <w:sz w:val="24"/>
        </w:rPr>
        <w:t>This Agreement and any claim, controversy or dispute arising under or related to this Agreement shall be governed by and construed in accordance with the laws of the State of New York.</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(c)    </w:t>
      </w:r>
      <w:r>
        <w:rPr>
          <w:rFonts w:ascii="Arial;sans-serif" w:hAnsi="Arial;sans-serif"/>
          <w:b w:val="false"/>
          <w:i/>
          <w:color w:val="000000"/>
          <w:sz w:val="24"/>
        </w:rPr>
        <w:t>Waiver of Jury Trial</w:t>
      </w:r>
      <w:r>
        <w:rPr>
          <w:rFonts w:ascii="Arial;sans-serif" w:hAnsi="Arial;sans-serif"/>
          <w:b w:val="false"/>
          <w:color w:val="000000"/>
          <w:sz w:val="24"/>
        </w:rPr>
        <w:t>. Each of the parties hereto hereby waives any right to trial by jury in any suit or proceeding arising out of or relating to this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(d)    </w:t>
      </w:r>
      <w:r>
        <w:rPr>
          <w:rFonts w:ascii="Arial;sans-serif" w:hAnsi="Arial;sans-serif"/>
          <w:b w:val="false"/>
          <w:i/>
          <w:color w:val="000000"/>
          <w:sz w:val="24"/>
        </w:rPr>
        <w:t>Counterparts.</w:t>
      </w:r>
      <w:r>
        <w:rPr>
          <w:color w:val="000000"/>
        </w:rPr>
        <w:t xml:space="preserve"> </w:t>
      </w:r>
      <w:r>
        <w:rPr>
          <w:rFonts w:ascii="Arial;sans-serif" w:hAnsi="Arial;sans-serif"/>
          <w:b w:val="false"/>
          <w:color w:val="000000"/>
          <w:sz w:val="24"/>
        </w:rPr>
        <w:t>This Agreement may be signed in counterparts (which may include counterparts delivered by any standard form of telecommunication), each of which shall be an original and all of which together shall constitute one and the same instrument.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(e)    </w:t>
      </w:r>
      <w:r>
        <w:rPr>
          <w:rFonts w:ascii="Arial;sans-serif" w:hAnsi="Arial;sans-serif"/>
          <w:b w:val="false"/>
          <w:i/>
          <w:color w:val="000000"/>
          <w:sz w:val="24"/>
        </w:rPr>
        <w:t>Amendments or Waivers.</w:t>
      </w:r>
      <w:r>
        <w:rPr>
          <w:color w:val="000000"/>
        </w:rPr>
        <w:t xml:space="preserve"> </w:t>
      </w:r>
      <w:r>
        <w:rPr>
          <w:rFonts w:ascii="Arial;sans-serif" w:hAnsi="Arial;sans-serif"/>
          <w:b w:val="false"/>
          <w:color w:val="000000"/>
          <w:sz w:val="24"/>
        </w:rPr>
        <w:t>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(f)    </w:t>
      </w:r>
      <w:r>
        <w:rPr>
          <w:rFonts w:ascii="Arial;sans-serif" w:hAnsi="Arial;sans-serif"/>
          <w:b w:val="false"/>
          <w:i/>
          <w:color w:val="000000"/>
          <w:sz w:val="24"/>
        </w:rPr>
        <w:t>Headings.</w:t>
      </w:r>
      <w:r>
        <w:rPr>
          <w:color w:val="000000"/>
        </w:rPr>
        <w:t xml:space="preserve"> </w:t>
      </w:r>
      <w:r>
        <w:rPr>
          <w:rFonts w:ascii="Arial;sans-serif" w:hAnsi="Arial;sans-serif"/>
          <w:b w:val="false"/>
          <w:color w:val="000000"/>
          <w:sz w:val="24"/>
        </w:rPr>
        <w:t>The headings herein are included for convenience of reference only and are not intended to be part of, or to affect the meaning or interpretation of, this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If the foregoing is in accordance with your understanding, please indicate your acceptance of this Agreement by signing in the space provided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69950"/>
                <wp:effectExtent l="0" t="0" r="0" b="0"/>
                <wp:wrapNone/>
                <wp:docPr id="35" name="Frame35"/>
                <a:graphic xmlns:a="http://schemas.openxmlformats.org/drawingml/2006/main">
                  <a:graphicData uri="http://schemas.microsoft.com/office/word/2010/wordprocessingShape">
                    <wps:wsp>
                      <wps:cNvSpPr txBox="1"/>
                      <wps:spPr>
                        <a:xfrm>
                          <a:off x="0" y="0"/>
                          <a:ext cx="6480175" cy="869950"/>
                        </a:xfrm>
                        <a:prstGeom prst="rect"/>
                        <a:solidFill>
                          <a:srgbClr val="FFFFFF"/>
                        </a:solidFill>
                      </wps:spPr>
                      <wps:txb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31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480" w:after="283"/>
                        <w:jc w:val="left"/>
                        <w:rPr>
                          <w:color w:val="000000"/>
                        </w:rPr>
                      </w:pPr>
                      <w:r>
                        <w:rPr>
                          <w:color w:val="000000"/>
                        </w:rPr>
                        <w:t>    </w:t>
                      </w:r>
                      <w:r>
                        <w:rPr>
                          <w:rFonts w:ascii="Arial;sans-serif" w:hAnsi="Arial;sans-serif"/>
                          <w:b w:val="false"/>
                          <w:color w:val="000000"/>
                          <w:sz w:val="20"/>
                        </w:rPr>
                        <w:t>31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Very truly yours,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XYLEM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4"/>
        </w:rPr>
        <w:t xml:space="preserve">By: </w:t>
      </w:r>
      <w:r>
        <w:rPr>
          <w:rFonts w:ascii="Arial;sans-serif" w:hAnsi="Arial;sans-serif"/>
          <w:b w:val="false"/>
          <w:color w:val="000000"/>
          <w:sz w:val="24"/>
          <w:u w:val="single"/>
        </w:rPr>
        <w:t>/s/ Christopher Peterson</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4"/>
        </w:rPr>
        <w:t>Name: Chris Peterson</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24"/>
        </w:rPr>
        <w:t xml:space="preserve">Title: Vice President, Chief Tax Officer,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and Treasurer </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Arial;sans-serif" w:hAnsi="Arial;sans-serif"/>
                                <w:b w:val="false"/>
                                <w:color w:val="000000"/>
                                <w:sz w:val="20"/>
                              </w:rPr>
                              <w:t>[</w:t>
                            </w:r>
                            <w:r>
                              <w:rPr>
                                <w:rFonts w:ascii="Arial;sans-serif" w:hAnsi="Arial;sans-serif"/>
                                <w:b w:val="false"/>
                                <w:i/>
                                <w:color w:val="000000"/>
                                <w:sz w:val="20"/>
                              </w:rPr>
                              <w:t>Signature Page to Underwriting Agreement</w:t>
                            </w:r>
                            <w:r>
                              <w:rPr>
                                <w:rFonts w:ascii="Arial;sans-serif" w:hAnsi="Arial;sans-serif"/>
                                <w:b w:val="false"/>
                                <w:color w:val="000000"/>
                                <w:sz w:val="20"/>
                              </w:rPr>
                              <w:t>]</w:t>
                            </w:r>
                            <w:r>
                              <w:rPr>
                                <w:color w:val="000000"/>
                              </w:rPr>
                              <w:t>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Arial;sans-serif" w:hAnsi="Arial;sans-serif"/>
                          <w:b w:val="false"/>
                          <w:color w:val="000000"/>
                          <w:sz w:val="20"/>
                        </w:rPr>
                        <w:t>[</w:t>
                      </w:r>
                      <w:r>
                        <w:rPr>
                          <w:rFonts w:ascii="Arial;sans-serif" w:hAnsi="Arial;sans-serif"/>
                          <w:b w:val="false"/>
                          <w:i/>
                          <w:color w:val="000000"/>
                          <w:sz w:val="20"/>
                        </w:rPr>
                        <w:t>Signature Page to Underwriting Agreement</w:t>
                      </w:r>
                      <w:r>
                        <w:rPr>
                          <w:rFonts w:ascii="Arial;sans-serif" w:hAnsi="Arial;sans-serif"/>
                          <w:b w:val="false"/>
                          <w:color w:val="000000"/>
                          <w:sz w:val="20"/>
                        </w:rPr>
                        <w:t>]</w:t>
                      </w: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Accepted: September 15,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CITIGROUP GLOBAL MARKETS INC.</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ING FINANCIAL MARKETS LLC</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J.P. MORGAN SECURITIES LLC</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BNP PARIBAS SECURITIES CORP.</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WELLS FARGO SECURITIES, LLC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Acting on behalf of themselves and as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the Representatives of the several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Underwriters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Citigroup Global Markets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 xml:space="preserve">By: </w:t>
      </w:r>
      <w:r>
        <w:rPr>
          <w:rFonts w:ascii="Arial;sans-serif" w:hAnsi="Arial;sans-serif"/>
          <w:b w:val="false"/>
          <w:color w:val="000000"/>
          <w:sz w:val="24"/>
          <w:u w:val="single"/>
        </w:rPr>
        <w:t>/s/ Adam D. Bordner            </w:t>
      </w:r>
    </w:p>
    <w:p>
      <w:pPr>
        <w:pStyle w:val="TextBody"/>
        <w:bidi w:val="0"/>
        <w:spacing w:lineRule="auto" w:line="288" w:before="0" w:after="0"/>
        <w:ind w:left="0" w:right="0" w:firstLine="276"/>
        <w:jc w:val="left"/>
        <w:rPr>
          <w:rFonts w:ascii="Arial;sans-serif" w:hAnsi="Arial;sans-serif"/>
          <w:b w:val="false"/>
          <w:color w:val="000000"/>
          <w:sz w:val="24"/>
        </w:rPr>
      </w:pPr>
      <w:r>
        <w:rPr>
          <w:rFonts w:ascii="Arial;sans-serif" w:hAnsi="Arial;sans-serif"/>
          <w:b w:val="false"/>
          <w:color w:val="000000"/>
          <w:sz w:val="24"/>
        </w:rPr>
        <w:t>Name: Adam D. Bordner</w:t>
      </w:r>
    </w:p>
    <w:p>
      <w:pPr>
        <w:pStyle w:val="TextBody"/>
        <w:bidi w:val="0"/>
        <w:spacing w:lineRule="auto" w:line="288" w:before="0" w:after="0"/>
        <w:ind w:left="0" w:right="0" w:firstLine="276"/>
        <w:jc w:val="left"/>
        <w:rPr>
          <w:rFonts w:ascii="Arial;sans-serif" w:hAnsi="Arial;sans-serif"/>
          <w:b w:val="false"/>
          <w:color w:val="000000"/>
          <w:sz w:val="24"/>
        </w:rPr>
      </w:pPr>
      <w:r>
        <w:rPr>
          <w:rFonts w:ascii="Arial;sans-serif" w:hAnsi="Arial;sans-serif"/>
          <w:b w:val="false"/>
          <w:color w:val="000000"/>
          <w:sz w:val="24"/>
        </w:rPr>
        <w:t>Title: Managing Director</w:t>
      </w:r>
    </w:p>
    <w:p>
      <w:pPr>
        <w:pStyle w:val="TextBody"/>
        <w:bidi w:val="0"/>
        <w:spacing w:before="0" w:after="0"/>
        <w:ind w:left="0" w:right="0" w:firstLine="276"/>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ING Financial Markets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 xml:space="preserve">By: </w:t>
      </w:r>
      <w:r>
        <w:rPr>
          <w:rFonts w:ascii="Arial;sans-serif" w:hAnsi="Arial;sans-serif"/>
          <w:b w:val="false"/>
          <w:color w:val="000000"/>
          <w:sz w:val="24"/>
          <w:u w:val="single"/>
        </w:rPr>
        <w:t>/s/ Christophe Dugardyn        </w:t>
      </w:r>
    </w:p>
    <w:p>
      <w:pPr>
        <w:pStyle w:val="TextBody"/>
        <w:bidi w:val="0"/>
        <w:spacing w:lineRule="auto" w:line="288" w:before="0" w:after="0"/>
        <w:ind w:left="0" w:right="0" w:firstLine="276"/>
        <w:jc w:val="left"/>
        <w:rPr>
          <w:rFonts w:ascii="Arial;sans-serif" w:hAnsi="Arial;sans-serif"/>
          <w:b w:val="false"/>
          <w:color w:val="000000"/>
          <w:sz w:val="24"/>
        </w:rPr>
      </w:pPr>
      <w:r>
        <w:rPr>
          <w:rFonts w:ascii="Arial;sans-serif" w:hAnsi="Arial;sans-serif"/>
          <w:b w:val="false"/>
          <w:color w:val="000000"/>
          <w:sz w:val="24"/>
        </w:rPr>
        <w:t>Name: Christophe Dugardyn</w:t>
      </w:r>
    </w:p>
    <w:p>
      <w:pPr>
        <w:pStyle w:val="TextBody"/>
        <w:bidi w:val="0"/>
        <w:spacing w:lineRule="auto" w:line="288" w:before="0" w:after="0"/>
        <w:ind w:left="0" w:right="0" w:firstLine="276"/>
        <w:jc w:val="left"/>
        <w:rPr>
          <w:rFonts w:ascii="Arial;sans-serif" w:hAnsi="Arial;sans-serif"/>
          <w:b w:val="false"/>
          <w:color w:val="000000"/>
          <w:sz w:val="24"/>
        </w:rPr>
      </w:pPr>
      <w:r>
        <w:rPr>
          <w:rFonts w:ascii="Arial;sans-serif" w:hAnsi="Arial;sans-serif"/>
          <w:b w:val="false"/>
          <w:color w:val="000000"/>
          <w:sz w:val="24"/>
        </w:rPr>
        <w:t>Title: Managing Director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 xml:space="preserve">By: </w:t>
      </w:r>
      <w:r>
        <w:rPr>
          <w:rFonts w:ascii="Arial;sans-serif" w:hAnsi="Arial;sans-serif"/>
          <w:b w:val="false"/>
          <w:color w:val="000000"/>
          <w:sz w:val="24"/>
          <w:u w:val="single"/>
        </w:rPr>
        <w:t>/s/ Robert Londrigan            </w:t>
      </w:r>
    </w:p>
    <w:p>
      <w:pPr>
        <w:pStyle w:val="TextBody"/>
        <w:bidi w:val="0"/>
        <w:spacing w:lineRule="auto" w:line="288" w:before="0" w:after="0"/>
        <w:ind w:left="0" w:right="0" w:firstLine="276"/>
        <w:jc w:val="left"/>
        <w:rPr>
          <w:rFonts w:ascii="Arial;sans-serif" w:hAnsi="Arial;sans-serif"/>
          <w:b w:val="false"/>
          <w:color w:val="000000"/>
          <w:sz w:val="24"/>
        </w:rPr>
      </w:pPr>
      <w:r>
        <w:rPr>
          <w:rFonts w:ascii="Arial;sans-serif" w:hAnsi="Arial;sans-serif"/>
          <w:b w:val="false"/>
          <w:color w:val="000000"/>
          <w:sz w:val="24"/>
        </w:rPr>
        <w:t>Name: Robert Londrigan</w:t>
      </w:r>
    </w:p>
    <w:p>
      <w:pPr>
        <w:pStyle w:val="TextBody"/>
        <w:bidi w:val="0"/>
        <w:spacing w:lineRule="auto" w:line="288" w:before="0" w:after="0"/>
        <w:ind w:left="0" w:right="0" w:firstLine="276"/>
        <w:jc w:val="left"/>
        <w:rPr>
          <w:rFonts w:ascii="Arial;sans-serif" w:hAnsi="Arial;sans-serif"/>
          <w:b w:val="false"/>
          <w:color w:val="000000"/>
          <w:sz w:val="24"/>
        </w:rPr>
      </w:pPr>
      <w:r>
        <w:rPr>
          <w:rFonts w:ascii="Arial;sans-serif" w:hAnsi="Arial;sans-serif"/>
          <w:b w:val="false"/>
          <w:color w:val="000000"/>
          <w:sz w:val="24"/>
        </w:rPr>
        <w:t>Title: Managing Director</w:t>
      </w:r>
    </w:p>
    <w:p>
      <w:pPr>
        <w:pStyle w:val="TextBody"/>
        <w:bidi w:val="0"/>
        <w:spacing w:before="0" w:after="0"/>
        <w:ind w:left="0" w:right="0" w:firstLine="276"/>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J.P. Morgan Securities LLC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 xml:space="preserve">By: </w:t>
      </w:r>
      <w:r>
        <w:rPr>
          <w:rFonts w:ascii="Arial;sans-serif" w:hAnsi="Arial;sans-serif"/>
          <w:b w:val="false"/>
          <w:color w:val="000000"/>
          <w:sz w:val="24"/>
          <w:u w:val="single"/>
        </w:rPr>
        <w:t>/s/ Saee Athalye            </w:t>
      </w:r>
    </w:p>
    <w:p>
      <w:pPr>
        <w:pStyle w:val="TextBody"/>
        <w:bidi w:val="0"/>
        <w:spacing w:lineRule="auto" w:line="288" w:before="0" w:after="0"/>
        <w:ind w:left="0" w:right="0" w:firstLine="276"/>
        <w:jc w:val="left"/>
        <w:rPr>
          <w:rFonts w:ascii="Arial;sans-serif" w:hAnsi="Arial;sans-serif"/>
          <w:b w:val="false"/>
          <w:color w:val="000000"/>
          <w:sz w:val="24"/>
        </w:rPr>
      </w:pPr>
      <w:r>
        <w:rPr>
          <w:rFonts w:ascii="Arial;sans-serif" w:hAnsi="Arial;sans-serif"/>
          <w:b w:val="false"/>
          <w:color w:val="000000"/>
          <w:sz w:val="24"/>
        </w:rPr>
        <w:t>Name: Saee Athalye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BNP Paribas Securities Corp.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 xml:space="preserve">By: </w:t>
      </w:r>
      <w:r>
        <w:rPr>
          <w:rFonts w:ascii="Arial;sans-serif" w:hAnsi="Arial;sans-serif"/>
          <w:b w:val="false"/>
          <w:color w:val="000000"/>
          <w:sz w:val="24"/>
          <w:u w:val="single"/>
        </w:rPr>
        <w:t>/s/ Rafael Ribeiro        </w:t>
      </w:r>
    </w:p>
    <w:p>
      <w:pPr>
        <w:pStyle w:val="TextBody"/>
        <w:bidi w:val="0"/>
        <w:spacing w:lineRule="auto" w:line="288"/>
        <w:ind w:left="0" w:right="0" w:firstLine="276"/>
        <w:jc w:val="left"/>
        <w:rPr>
          <w:rFonts w:ascii="Arial;sans-serif" w:hAnsi="Arial;sans-serif"/>
          <w:b w:val="false"/>
          <w:color w:val="000000"/>
          <w:sz w:val="24"/>
        </w:rPr>
      </w:pPr>
      <w:r>
        <w:rPr>
          <w:rFonts w:ascii="Arial;sans-serif" w:hAnsi="Arial;sans-serif"/>
          <w:b w:val="false"/>
          <w:color w:val="000000"/>
          <w:sz w:val="24"/>
        </w:rPr>
        <w:t>Name: Rafael Ribeiro</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Arial;sans-serif" w:hAnsi="Arial;sans-serif"/>
                                <w:b w:val="false"/>
                                <w:color w:val="000000"/>
                                <w:sz w:val="20"/>
                              </w:rPr>
                              <w:t>[</w:t>
                            </w:r>
                            <w:r>
                              <w:rPr>
                                <w:rFonts w:ascii="Arial;sans-serif" w:hAnsi="Arial;sans-serif"/>
                                <w:b w:val="false"/>
                                <w:i/>
                                <w:color w:val="000000"/>
                                <w:sz w:val="20"/>
                              </w:rPr>
                              <w:t>Signature Page to Underwriting Agreement</w:t>
                            </w:r>
                            <w:r>
                              <w:rPr>
                                <w:rFonts w:ascii="Arial;sans-serif" w:hAnsi="Arial;sans-serif"/>
                                <w:b w:val="false"/>
                                <w:color w:val="000000"/>
                                <w:sz w:val="20"/>
                              </w:rPr>
                              <w:t>]</w:t>
                            </w:r>
                            <w:r>
                              <w:rPr>
                                <w:color w:val="000000"/>
                              </w:rPr>
                              <w:t>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Arial;sans-serif" w:hAnsi="Arial;sans-serif"/>
                          <w:b w:val="false"/>
                          <w:color w:val="000000"/>
                          <w:sz w:val="20"/>
                        </w:rPr>
                        <w:t>[</w:t>
                      </w:r>
                      <w:r>
                        <w:rPr>
                          <w:rFonts w:ascii="Arial;sans-serif" w:hAnsi="Arial;sans-serif"/>
                          <w:b w:val="false"/>
                          <w:i/>
                          <w:color w:val="000000"/>
                          <w:sz w:val="20"/>
                        </w:rPr>
                        <w:t>Signature Page to Underwriting Agreement</w:t>
                      </w:r>
                      <w:r>
                        <w:rPr>
                          <w:rFonts w:ascii="Arial;sans-serif" w:hAnsi="Arial;sans-serif"/>
                          <w:b w:val="false"/>
                          <w:color w:val="000000"/>
                          <w:sz w:val="20"/>
                        </w:rPr>
                        <w:t>]</w:t>
                      </w: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ind w:left="0" w:right="0" w:firstLine="276"/>
        <w:jc w:val="left"/>
        <w:rPr>
          <w:rFonts w:ascii="Arial;sans-serif" w:hAnsi="Arial;sans-serif"/>
          <w:b w:val="false"/>
          <w:color w:val="000000"/>
          <w:sz w:val="24"/>
        </w:rPr>
      </w:pPr>
      <w:r>
        <w:rPr>
          <w:rFonts w:ascii="Arial;sans-serif" w:hAnsi="Arial;sans-serif"/>
          <w:b w:val="false"/>
          <w:color w:val="000000"/>
          <w:sz w:val="24"/>
        </w:rPr>
        <w:t>Title:Head of Investment Grade Finance, Americas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Wells Fargo Securities,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By</w:t>
      </w:r>
      <w:r>
        <w:rPr>
          <w:color w:val="000000"/>
          <w:u w:val="single"/>
        </w:rPr>
        <w:t xml:space="preserve"> </w:t>
      </w:r>
      <w:r>
        <w:rPr>
          <w:rFonts w:ascii="Arial;sans-serif" w:hAnsi="Arial;sans-serif"/>
          <w:b w:val="false"/>
          <w:color w:val="000000"/>
          <w:sz w:val="24"/>
          <w:u w:val="single"/>
        </w:rPr>
        <w:t>/s/ Carolyn Hurley        </w:t>
      </w:r>
    </w:p>
    <w:p>
      <w:pPr>
        <w:pStyle w:val="TextBody"/>
        <w:bidi w:val="0"/>
        <w:spacing w:lineRule="auto" w:line="288" w:before="0" w:after="0"/>
        <w:ind w:left="0" w:right="0" w:firstLine="276"/>
        <w:jc w:val="left"/>
        <w:rPr>
          <w:rFonts w:ascii="Arial;sans-serif" w:hAnsi="Arial;sans-serif"/>
          <w:b w:val="false"/>
          <w:color w:val="000000"/>
          <w:sz w:val="24"/>
        </w:rPr>
      </w:pPr>
      <w:r>
        <w:rPr>
          <w:rFonts w:ascii="Arial;sans-serif" w:hAnsi="Arial;sans-serif"/>
          <w:b w:val="false"/>
          <w:color w:val="000000"/>
          <w:sz w:val="24"/>
        </w:rPr>
        <w:t>Name: Carolyn Hurley</w:t>
      </w:r>
    </w:p>
    <w:p>
      <w:pPr>
        <w:pStyle w:val="TextBody"/>
        <w:bidi w:val="0"/>
        <w:spacing w:lineRule="auto" w:line="288"/>
        <w:ind w:left="0" w:right="0" w:firstLine="276"/>
        <w:jc w:val="left"/>
        <w:rPr>
          <w:rFonts w:ascii="Arial;sans-serif" w:hAnsi="Arial;sans-serif"/>
          <w:b w:val="false"/>
          <w:color w:val="000000"/>
          <w:sz w:val="24"/>
        </w:rPr>
      </w:pPr>
      <w:r>
        <w:rPr>
          <w:rFonts w:ascii="Arial;sans-serif" w:hAnsi="Arial;sans-serif"/>
          <w:b w:val="false"/>
          <w:color w:val="000000"/>
          <w:sz w:val="24"/>
        </w:rPr>
        <w:t>Title: 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Arial;sans-serif" w:hAnsi="Arial;sans-serif"/>
                                <w:b w:val="false"/>
                                <w:color w:val="000000"/>
                                <w:sz w:val="20"/>
                              </w:rPr>
                              <w:t>[</w:t>
                            </w:r>
                            <w:r>
                              <w:rPr>
                                <w:rFonts w:ascii="Arial;sans-serif" w:hAnsi="Arial;sans-serif"/>
                                <w:b w:val="false"/>
                                <w:i/>
                                <w:color w:val="000000"/>
                                <w:sz w:val="20"/>
                              </w:rPr>
                              <w:t>Signature Page to Underwriting Agreement</w:t>
                            </w:r>
                            <w:r>
                              <w:rPr>
                                <w:rFonts w:ascii="Arial;sans-serif" w:hAnsi="Arial;sans-serif"/>
                                <w:b w:val="false"/>
                                <w:color w:val="000000"/>
                                <w:sz w:val="20"/>
                              </w:rPr>
                              <w:t>]</w:t>
                            </w:r>
                            <w:r>
                              <w:rPr>
                                <w:color w:val="000000"/>
                              </w:rPr>
                              <w:t>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Arial;sans-serif" w:hAnsi="Arial;sans-serif"/>
                          <w:b w:val="false"/>
                          <w:color w:val="000000"/>
                          <w:sz w:val="20"/>
                        </w:rPr>
                        <w:t>[</w:t>
                      </w:r>
                      <w:r>
                        <w:rPr>
                          <w:rFonts w:ascii="Arial;sans-serif" w:hAnsi="Arial;sans-serif"/>
                          <w:b w:val="false"/>
                          <w:i/>
                          <w:color w:val="000000"/>
                          <w:sz w:val="20"/>
                        </w:rPr>
                        <w:t>Signature Page to Underwriting Agreement</w:t>
                      </w:r>
                      <w:r>
                        <w:rPr>
                          <w:rFonts w:ascii="Arial;sans-serif" w:hAnsi="Arial;sans-serif"/>
                          <w:b w:val="false"/>
                          <w:color w:val="000000"/>
                          <w:sz w:val="20"/>
                        </w:rPr>
                        <w:t>]</w:t>
                      </w: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ind w:left="0" w:right="0" w:firstLine="27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Arial;sans-serif" w:hAnsi="Arial;sans-serif"/>
                                <w:b w:val="false"/>
                                <w:color w:val="000000"/>
                                <w:sz w:val="20"/>
                              </w:rPr>
                              <w:t>[</w:t>
                            </w:r>
                            <w:r>
                              <w:rPr>
                                <w:rFonts w:ascii="Arial;sans-serif" w:hAnsi="Arial;sans-serif"/>
                                <w:b w:val="false"/>
                                <w:i/>
                                <w:color w:val="000000"/>
                                <w:sz w:val="20"/>
                              </w:rPr>
                              <w:t>Signature Page to Underwriting Agreement</w:t>
                            </w:r>
                            <w:r>
                              <w:rPr>
                                <w:rFonts w:ascii="Arial;sans-serif" w:hAnsi="Arial;sans-serif"/>
                                <w:b w:val="false"/>
                                <w:color w:val="000000"/>
                                <w:sz w:val="20"/>
                              </w:rPr>
                              <w:t>]</w:t>
                            </w:r>
                            <w:r>
                              <w:rPr>
                                <w:color w:val="000000"/>
                              </w:rPr>
                              <w:t>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Arial;sans-serif" w:hAnsi="Arial;sans-serif"/>
                          <w:b w:val="false"/>
                          <w:color w:val="000000"/>
                          <w:sz w:val="20"/>
                        </w:rPr>
                        <w:t>[</w:t>
                      </w:r>
                      <w:r>
                        <w:rPr>
                          <w:rFonts w:ascii="Arial;sans-serif" w:hAnsi="Arial;sans-serif"/>
                          <w:b w:val="false"/>
                          <w:i/>
                          <w:color w:val="000000"/>
                          <w:sz w:val="20"/>
                        </w:rPr>
                        <w:t>Signature Page to Underwriting Agreement</w:t>
                      </w:r>
                      <w:r>
                        <w:rPr>
                          <w:rFonts w:ascii="Arial;sans-serif" w:hAnsi="Arial;sans-serif"/>
                          <w:b w:val="false"/>
                          <w:color w:val="000000"/>
                          <w:sz w:val="20"/>
                        </w:rPr>
                        <w:t>]</w:t>
                      </w: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Schedule 1</w:t>
      </w:r>
    </w:p>
    <w:tbl>
      <w:tblPr>
        <w:tblW w:w="8360" w:type="dxa"/>
        <w:jc w:val="left"/>
        <w:tblInd w:w="0" w:type="dxa"/>
        <w:tblLayout w:type="fixed"/>
        <w:tblCellMar>
          <w:top w:w="28" w:type="dxa"/>
          <w:left w:w="28" w:type="dxa"/>
          <w:bottom w:w="28" w:type="dxa"/>
          <w:right w:w="28" w:type="dxa"/>
        </w:tblCellMar>
      </w:tblPr>
      <w:tblGrid>
        <w:gridCol w:w="709"/>
        <w:gridCol w:w="626"/>
        <w:gridCol w:w="626"/>
        <w:gridCol w:w="626"/>
        <w:gridCol w:w="626"/>
        <w:gridCol w:w="626"/>
        <w:gridCol w:w="202"/>
        <w:gridCol w:w="202"/>
        <w:gridCol w:w="203"/>
        <w:gridCol w:w="1146"/>
        <w:gridCol w:w="1146"/>
        <w:gridCol w:w="1622"/>
      </w:tblGrid>
      <w:tr>
        <w:trPr/>
        <w:tc>
          <w:tcPr>
            <w:tcW w:w="7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4446" w:type="dxa"/>
            <w:gridSpan w:val="9"/>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        </w:t>
            </w:r>
            <w:r>
              <w:rPr>
                <w:rFonts w:ascii="Arial;sans-serif" w:hAnsi="Arial;sans-serif"/>
                <w:b w:val="false"/>
                <w:color w:val="000000"/>
                <w:sz w:val="24"/>
              </w:rPr>
              <w:t>Underwriter</w:t>
            </w:r>
          </w:p>
        </w:tc>
        <w:tc>
          <w:tcPr>
            <w:tcW w:w="39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Principal Amount of the 2029 Notes</w:t>
            </w:r>
          </w:p>
        </w:tc>
      </w:tr>
      <w:tr>
        <w:trPr/>
        <w:tc>
          <w:tcPr>
            <w:tcW w:w="3839"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Citigroup Global Markets Inc.</w:t>
            </w:r>
          </w:p>
        </w:tc>
        <w:tc>
          <w:tcPr>
            <w:tcW w:w="452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$145,500,000</w:t>
            </w:r>
          </w:p>
        </w:tc>
      </w:tr>
      <w:tr>
        <w:trPr/>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ING Financial Markets LLC</w:t>
            </w:r>
          </w:p>
        </w:tc>
        <w:tc>
          <w:tcPr>
            <w:tcW w:w="4521"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J.P. Morgan Securities LLC</w:t>
            </w:r>
          </w:p>
        </w:tc>
        <w:tc>
          <w:tcPr>
            <w:tcW w:w="4521"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BNP Paribas Securities Corp.</w:t>
            </w:r>
          </w:p>
        </w:tc>
        <w:tc>
          <w:tcPr>
            <w:tcW w:w="4521"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Wells Fargo Securities, LLC</w:t>
            </w:r>
          </w:p>
        </w:tc>
        <w:tc>
          <w:tcPr>
            <w:tcW w:w="4521"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TD Securities (USA) LLC</w:t>
            </w:r>
          </w:p>
        </w:tc>
        <w:tc>
          <w:tcPr>
            <w:tcW w:w="4521"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$30,000,000</w:t>
            </w:r>
          </w:p>
        </w:tc>
      </w:tr>
      <w:tr>
        <w:trPr/>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U.S. Bancorp Investments, Inc.</w:t>
            </w:r>
          </w:p>
        </w:tc>
        <w:tc>
          <w:tcPr>
            <w:tcW w:w="4521"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$30,000,000</w:t>
            </w:r>
          </w:p>
        </w:tc>
      </w:tr>
      <w:tr>
        <w:trPr/>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Deutsche Bank Securities Inc.</w:t>
            </w:r>
          </w:p>
        </w:tc>
        <w:tc>
          <w:tcPr>
            <w:tcW w:w="4521"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$28,500,000</w:t>
            </w:r>
          </w:p>
        </w:tc>
      </w:tr>
      <w:tr>
        <w:trPr/>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Siebert Williams Shank &amp; Co., LLC</w:t>
            </w:r>
          </w:p>
        </w:tc>
        <w:tc>
          <w:tcPr>
            <w:tcW w:w="4521"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$10,000,000</w:t>
            </w:r>
          </w:p>
        </w:tc>
      </w:tr>
      <w:tr>
        <w:trPr/>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SEB Securities, Inc.</w:t>
            </w:r>
          </w:p>
        </w:tc>
        <w:tc>
          <w:tcPr>
            <w:tcW w:w="4521"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$10,000,000</w:t>
            </w:r>
          </w:p>
        </w:tc>
      </w:tr>
      <w:tr>
        <w:trPr/>
        <w:tc>
          <w:tcPr>
            <w:tcW w:w="38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Total</w:t>
            </w:r>
          </w:p>
        </w:tc>
        <w:tc>
          <w:tcPr>
            <w:tcW w:w="6399" w:type="dxa"/>
            <w:gridSpan w:val="9"/>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$500,000,000</w:t>
            </w:r>
          </w:p>
        </w:tc>
      </w:tr>
      <w:tr>
        <w:trPr/>
        <w:tc>
          <w:tcPr>
            <w:tcW w:w="196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63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58" w:type="dxa"/>
        <w:jc w:val="left"/>
        <w:tblInd w:w="0" w:type="dxa"/>
        <w:tblLayout w:type="fixed"/>
        <w:tblCellMar>
          <w:top w:w="28" w:type="dxa"/>
          <w:left w:w="28" w:type="dxa"/>
          <w:bottom w:w="28" w:type="dxa"/>
          <w:right w:w="28" w:type="dxa"/>
        </w:tblCellMar>
      </w:tblPr>
      <w:tblGrid>
        <w:gridCol w:w="1391"/>
        <w:gridCol w:w="1222"/>
        <w:gridCol w:w="1227"/>
        <w:gridCol w:w="300"/>
        <w:gridCol w:w="300"/>
        <w:gridCol w:w="304"/>
        <w:gridCol w:w="1146"/>
        <w:gridCol w:w="1146"/>
        <w:gridCol w:w="1622"/>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4744" w:type="dxa"/>
            <w:gridSpan w:val="6"/>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        </w:t>
            </w:r>
            <w:r>
              <w:rPr>
                <w:rFonts w:ascii="Arial;sans-serif" w:hAnsi="Arial;sans-serif"/>
                <w:b w:val="false"/>
                <w:color w:val="000000"/>
                <w:sz w:val="24"/>
              </w:rPr>
              <w:t>Underwriter</w:t>
            </w:r>
          </w:p>
        </w:tc>
        <w:tc>
          <w:tcPr>
            <w:tcW w:w="39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40"/>
              <w:jc w:val="center"/>
              <w:rPr>
                <w:rFonts w:ascii="Arial;sans-serif" w:hAnsi="Arial;sans-serif"/>
                <w:b w:val="false"/>
                <w:color w:val="000000"/>
                <w:sz w:val="24"/>
              </w:rPr>
            </w:pPr>
            <w:r>
              <w:rPr>
                <w:rFonts w:ascii="Arial;sans-serif" w:hAnsi="Arial;sans-serif"/>
                <w:b w:val="false"/>
                <w:color w:val="000000"/>
                <w:sz w:val="24"/>
              </w:rPr>
              <w:t>Principal Amount of the 2032 Notes</w:t>
            </w:r>
          </w:p>
        </w:tc>
      </w:tr>
      <w:tr>
        <w:trPr/>
        <w:tc>
          <w:tcPr>
            <w:tcW w:w="38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Citigroup Global Markets Inc.</w:t>
            </w:r>
          </w:p>
        </w:tc>
        <w:tc>
          <w:tcPr>
            <w:tcW w:w="481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$145,500,000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ING Financial Markets LLC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J.P. Morgan Securities LLC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BNP Paribas Securities Corp.</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Wells Fargo Securities, LLC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TD Securities (USA) LLC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$30,000,000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U.S. Bancorp Investments, Inc.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$30,000,000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Deutsche Bank Securities Inc.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$28,500,000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Siebert Williams Shank &amp; Co., LLC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$10,000,000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SEB Securities, Inc.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$10,000,000</w:t>
            </w:r>
          </w:p>
        </w:tc>
      </w:tr>
      <w:tr>
        <w:trPr/>
        <w:tc>
          <w:tcPr>
            <w:tcW w:w="4744"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Total</w:t>
            </w:r>
          </w:p>
        </w:tc>
        <w:tc>
          <w:tcPr>
            <w:tcW w:w="3914"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$500,000,000</w:t>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40" name="Frame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8658" w:type="dxa"/>
        <w:jc w:val="left"/>
        <w:tblInd w:w="0" w:type="dxa"/>
        <w:tblLayout w:type="fixed"/>
        <w:tblCellMar>
          <w:top w:w="28" w:type="dxa"/>
          <w:left w:w="28" w:type="dxa"/>
          <w:bottom w:w="28" w:type="dxa"/>
          <w:right w:w="28" w:type="dxa"/>
        </w:tblCellMar>
      </w:tblPr>
      <w:tblGrid>
        <w:gridCol w:w="1391"/>
        <w:gridCol w:w="1222"/>
        <w:gridCol w:w="1227"/>
        <w:gridCol w:w="300"/>
        <w:gridCol w:w="300"/>
        <w:gridCol w:w="304"/>
        <w:gridCol w:w="1146"/>
        <w:gridCol w:w="1146"/>
        <w:gridCol w:w="1622"/>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4744" w:type="dxa"/>
            <w:gridSpan w:val="6"/>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        </w:t>
            </w:r>
            <w:r>
              <w:rPr>
                <w:rFonts w:ascii="Arial;sans-serif" w:hAnsi="Arial;sans-serif"/>
                <w:b w:val="false"/>
                <w:color w:val="000000"/>
                <w:sz w:val="24"/>
              </w:rPr>
              <w:t>Underwriter</w:t>
            </w:r>
          </w:p>
        </w:tc>
        <w:tc>
          <w:tcPr>
            <w:tcW w:w="39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40"/>
              <w:jc w:val="center"/>
              <w:rPr>
                <w:rFonts w:ascii="Arial;sans-serif" w:hAnsi="Arial;sans-serif"/>
                <w:b w:val="false"/>
                <w:color w:val="000000"/>
                <w:sz w:val="24"/>
              </w:rPr>
            </w:pPr>
            <w:r>
              <w:rPr>
                <w:rFonts w:ascii="Arial;sans-serif" w:hAnsi="Arial;sans-serif"/>
                <w:b w:val="false"/>
                <w:color w:val="000000"/>
                <w:sz w:val="24"/>
              </w:rPr>
              <w:t>Principal Amount of the 2037 Notes</w:t>
            </w:r>
          </w:p>
        </w:tc>
      </w:tr>
      <w:tr>
        <w:trPr/>
        <w:tc>
          <w:tcPr>
            <w:tcW w:w="38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Citigroup Global Markets Inc.</w:t>
            </w:r>
          </w:p>
        </w:tc>
        <w:tc>
          <w:tcPr>
            <w:tcW w:w="481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$145,500,000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ING Financial Markets LLC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J.P. Morgan Securities LLC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BNP Paribas Securities Corp.</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Wells Fargo Securities, LLC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$61,500,000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TD Securities (USA) LLC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$30,000,000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U.S. Bancorp Investments, Inc.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$30,000,000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Deutsche Bank Securities Inc.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$28,500,000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Siebert Williams Shank &amp; Co., LLC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$10,000,000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SEB Securities, Inc.</w:t>
            </w:r>
          </w:p>
        </w:tc>
        <w:tc>
          <w:tcPr>
            <w:tcW w:w="481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$10,000,000</w:t>
            </w:r>
          </w:p>
        </w:tc>
      </w:tr>
      <w:tr>
        <w:trPr/>
        <w:tc>
          <w:tcPr>
            <w:tcW w:w="4744"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Total</w:t>
            </w:r>
          </w:p>
        </w:tc>
        <w:tc>
          <w:tcPr>
            <w:tcW w:w="3914"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$500,000,000</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41"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Schedule 2</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Significant Subsidiaries</w:t>
      </w:r>
    </w:p>
    <w:tbl>
      <w:tblPr>
        <w:tblW w:w="4366" w:type="dxa"/>
        <w:jc w:val="left"/>
        <w:tblInd w:w="0" w:type="dxa"/>
        <w:tblLayout w:type="fixed"/>
        <w:tblCellMar>
          <w:top w:w="28" w:type="dxa"/>
          <w:left w:w="28" w:type="dxa"/>
          <w:bottom w:w="28" w:type="dxa"/>
          <w:right w:w="28" w:type="dxa"/>
        </w:tblCellMar>
      </w:tblPr>
      <w:tblGrid>
        <w:gridCol w:w="1160"/>
        <w:gridCol w:w="1021"/>
        <w:gridCol w:w="1029"/>
        <w:gridCol w:w="338"/>
        <w:gridCol w:w="338"/>
        <w:gridCol w:w="480"/>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Xylem Europe GmbH</w:t>
            </w:r>
          </w:p>
        </w:tc>
        <w:tc>
          <w:tcPr>
            <w:tcW w:w="115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Switzerland</w:t>
            </w:r>
          </w:p>
        </w:tc>
      </w:tr>
      <w:tr>
        <w:trPr/>
        <w:tc>
          <w:tcPr>
            <w:tcW w:w="32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Xylem Water Solutions U.S.A., Inc.</w:t>
            </w:r>
          </w:p>
        </w:tc>
        <w:tc>
          <w:tcPr>
            <w:tcW w:w="115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Evoqua Water Technologies LLC</w:t>
            </w:r>
          </w:p>
        </w:tc>
        <w:tc>
          <w:tcPr>
            <w:tcW w:w="115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Evoqua Water Technologies Corp.</w:t>
            </w:r>
          </w:p>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Evoqua Water Technologies Ltd.</w:t>
            </w:r>
          </w:p>
        </w:tc>
        <w:tc>
          <w:tcPr>
            <w:tcW w:w="115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Delaware</w:t>
            </w:r>
          </w:p>
          <w:p>
            <w:pPr>
              <w:pStyle w:val="TableContents"/>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Canada</w:t>
            </w:r>
          </w:p>
        </w:tc>
      </w:tr>
      <w:tr>
        <w:trPr/>
        <w:tc>
          <w:tcPr>
            <w:tcW w:w="32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Fluid Handling, LLC</w:t>
            </w:r>
          </w:p>
        </w:tc>
        <w:tc>
          <w:tcPr>
            <w:tcW w:w="115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Sensus USA Inc.</w:t>
            </w:r>
          </w:p>
        </w:tc>
        <w:tc>
          <w:tcPr>
            <w:tcW w:w="115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2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42"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ANNEX A</w:t>
      </w:r>
    </w:p>
    <w:p>
      <w:pPr>
        <w:pStyle w:val="TextBody"/>
        <w:bidi w:val="0"/>
        <w:spacing w:lineRule="auto" w:line="288" w:before="0" w:after="240"/>
        <w:jc w:val="left"/>
        <w:rPr>
          <w:rFonts w:ascii="Arial;sans-serif" w:hAnsi="Arial;sans-serif"/>
          <w:b/>
          <w:color w:val="000000"/>
          <w:sz w:val="24"/>
          <w:u w:val="single"/>
        </w:rPr>
      </w:pPr>
      <w:r>
        <w:rPr>
          <w:rFonts w:ascii="Arial;sans-serif" w:hAnsi="Arial;sans-serif"/>
          <w:b/>
          <w:color w:val="000000"/>
          <w:sz w:val="24"/>
          <w:u w:val="single"/>
        </w:rPr>
        <w:t>a.    Time of Sale Information</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1.    Pricing Term Sheet, dated September 15, 2026, substantially in the form of Annex B.</w:t>
      </w:r>
    </w:p>
    <w:p>
      <w:pPr>
        <w:pStyle w:val="TextBody"/>
        <w:bidi w:val="0"/>
        <w:spacing w:before="0" w:after="0"/>
        <w:jc w:val="left"/>
        <w:rPr/>
      </w:pPr>
      <w:r>
        <w:rPr/>
      </w:r>
    </w:p>
    <w:p>
      <w:pPr>
        <w:pStyle w:val="TextBody"/>
        <w:bidi w:val="0"/>
        <w:spacing w:before="0" w:after="0"/>
        <w:jc w:val="lef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43"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Arial;sans-serif" w:hAnsi="Arial;sans-serif"/>
          <w:b w:val="false"/>
          <w:color w:val="000000"/>
          <w:sz w:val="24"/>
        </w:rPr>
        <w:t>ANNEX B</w:t>
      </w:r>
    </w:p>
    <w:p>
      <w:pPr>
        <w:pStyle w:val="TextBody"/>
        <w:bidi w:val="0"/>
        <w:spacing w:lineRule="auto" w:line="288" w:before="77" w:after="283"/>
        <w:jc w:val="center"/>
        <w:rPr>
          <w:rFonts w:ascii="Arial;sans-serif" w:hAnsi="Arial;sans-serif"/>
          <w:b w:val="false"/>
          <w:color w:val="000000"/>
          <w:sz w:val="20"/>
        </w:rPr>
      </w:pPr>
      <w:r>
        <w:rPr>
          <w:rFonts w:ascii="Arial;sans-serif" w:hAnsi="Arial;sans-serif"/>
          <w:b w:val="false"/>
          <w:color w:val="000000"/>
          <w:sz w:val="20"/>
        </w:rPr>
        <w:t>Xylem Inc.</w:t>
      </w:r>
    </w:p>
    <w:p>
      <w:pPr>
        <w:pStyle w:val="TextBody"/>
        <w:bidi w:val="0"/>
        <w:spacing w:before="10" w:after="283"/>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Pricing Term Sheet</w:t>
      </w:r>
    </w:p>
    <w:p>
      <w:pPr>
        <w:pStyle w:val="TextBody"/>
        <w:bidi w:val="0"/>
        <w:spacing w:before="94" w:after="283"/>
        <w:jc w:val="center"/>
        <w:rPr/>
      </w:pPr>
      <w:r>
        <w:rPr/>
      </w:r>
    </w:p>
    <w:p>
      <w:pPr>
        <w:pStyle w:val="TextBody"/>
        <w:bidi w:val="0"/>
        <w:spacing w:lineRule="auto" w:line="288" w:before="94" w:after="283"/>
        <w:jc w:val="center"/>
        <w:rPr>
          <w:rFonts w:ascii="Arial;sans-serif" w:hAnsi="Arial;sans-serif"/>
          <w:b w:val="false"/>
          <w:color w:val="000000"/>
          <w:sz w:val="20"/>
        </w:rPr>
      </w:pPr>
      <w:r>
        <w:rPr>
          <w:rFonts w:ascii="Arial;sans-serif" w:hAnsi="Arial;sans-serif"/>
          <w:b w:val="false"/>
          <w:color w:val="000000"/>
          <w:sz w:val="20"/>
        </w:rPr>
        <w:t>September 15, 2026</w:t>
      </w:r>
    </w:p>
    <w:p>
      <w:pPr>
        <w:pStyle w:val="TextBody"/>
        <w:bidi w:val="0"/>
        <w:spacing w:before="8" w:after="283"/>
        <w:jc w:val="left"/>
        <w:rPr/>
      </w:pPr>
      <w:r>
        <w:rPr/>
      </w:r>
    </w:p>
    <w:p>
      <w:pPr>
        <w:pStyle w:val="TextBody"/>
        <w:bidi w:val="0"/>
        <w:spacing w:lineRule="auto" w:line="288" w:before="94" w:after="283"/>
        <w:jc w:val="center"/>
        <w:rPr>
          <w:rFonts w:ascii="Arial;sans-serif" w:hAnsi="Arial;sans-serif"/>
          <w:b w:val="false"/>
          <w:color w:val="000000"/>
          <w:sz w:val="20"/>
        </w:rPr>
      </w:pPr>
      <w:r>
        <w:rPr>
          <w:rFonts w:ascii="Arial;sans-serif" w:hAnsi="Arial;sans-serif"/>
          <w:b w:val="false"/>
          <w:color w:val="000000"/>
          <w:sz w:val="20"/>
        </w:rPr>
        <w:t>$500,000,000 5.250% Senior Notes due 2029</w:t>
        <w:br/>
        <w:t>$500,000,000 5.450% Senior Notes due 2032</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$500,000,000 5.850% Senior Notes due 2037</w:t>
      </w:r>
    </w:p>
    <w:p>
      <w:pPr>
        <w:pStyle w:val="TextBody"/>
        <w:bidi w:val="0"/>
        <w:spacing w:before="94" w:after="283"/>
        <w:jc w:val="center"/>
        <w:rPr/>
      </w:pPr>
      <w:r>
        <w:rPr/>
      </w:r>
    </w:p>
    <w:p>
      <w:pPr>
        <w:pStyle w:val="TextBody"/>
        <w:bidi w:val="0"/>
        <w:spacing w:lineRule="auto" w:line="288" w:before="94" w:after="283"/>
        <w:jc w:val="center"/>
        <w:rPr>
          <w:rFonts w:ascii="Arial;sans-serif" w:hAnsi="Arial;sans-serif"/>
          <w:b/>
          <w:color w:val="000000"/>
          <w:sz w:val="20"/>
        </w:rPr>
      </w:pPr>
      <w:r>
        <w:rPr>
          <w:rFonts w:ascii="Arial;sans-serif" w:hAnsi="Arial;sans-serif"/>
          <w:b/>
          <w:color w:val="000000"/>
          <w:sz w:val="20"/>
        </w:rPr>
        <w:t>Terms Applicable to Each Series of Notes</w:t>
      </w:r>
    </w:p>
    <w:p>
      <w:pPr>
        <w:pStyle w:val="TextBody"/>
        <w:bidi w:val="0"/>
        <w:spacing w:before="10" w:after="283"/>
        <w:jc w:val="left"/>
        <w:rPr/>
      </w:pPr>
      <w:r>
        <w:rPr/>
      </w:r>
    </w:p>
    <w:p>
      <w:pPr>
        <w:pStyle w:val="TextBody"/>
        <w:bidi w:val="0"/>
        <w:spacing w:lineRule="auto" w:line="288" w:before="0" w:after="0"/>
        <w:jc w:val="left"/>
        <w:rPr/>
      </w:pPr>
      <w:r>
        <w:rPr>
          <w:rFonts w:ascii="Arial;sans-serif" w:hAnsi="Arial;sans-serif"/>
          <w:b/>
          <w:color w:val="000000"/>
          <w:sz w:val="20"/>
        </w:rPr>
        <w:t>Issuer:</w:t>
      </w:r>
      <w:r>
        <w:rPr>
          <w:color w:val="000000"/>
        </w:rPr>
        <w:t>    </w:t>
      </w:r>
      <w:r>
        <w:rPr>
          <w:rFonts w:ascii="Arial;sans-serif" w:hAnsi="Arial;sans-serif"/>
          <w:b w:val="false"/>
          <w:color w:val="000000"/>
          <w:sz w:val="20"/>
        </w:rPr>
        <w:t>Xylem Inc.</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Ratings (Moody’s / S&amp;P)*:</w:t>
      </w:r>
      <w:r>
        <w:rPr>
          <w:color w:val="000000"/>
        </w:rPr>
        <w:t>    </w:t>
      </w:r>
      <w:r>
        <w:rPr>
          <w:rFonts w:ascii="Arial;sans-serif" w:hAnsi="Arial;sans-serif"/>
          <w:b w:val="false"/>
          <w:color w:val="000000"/>
          <w:sz w:val="20"/>
        </w:rPr>
        <w:t>Baa2 / BBB</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Ranking of the Notes:</w:t>
      </w:r>
      <w:r>
        <w:rPr>
          <w:color w:val="000000"/>
        </w:rPr>
        <w:t>    </w:t>
      </w:r>
      <w:r>
        <w:rPr>
          <w:rFonts w:ascii="Arial;sans-serif" w:hAnsi="Arial;sans-serif"/>
          <w:b w:val="false"/>
          <w:color w:val="000000"/>
          <w:sz w:val="20"/>
        </w:rPr>
        <w:t>Senior Unsecured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Offering Format:</w:t>
      </w:r>
      <w:r>
        <w:rPr>
          <w:color w:val="000000"/>
        </w:rPr>
        <w:t>    </w:t>
      </w:r>
      <w:r>
        <w:rPr>
          <w:rFonts w:ascii="Arial;sans-serif" w:hAnsi="Arial;sans-serif"/>
          <w:b w:val="false"/>
          <w:color w:val="000000"/>
          <w:sz w:val="20"/>
        </w:rPr>
        <w:t>SEC Registered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Trade Date:</w:t>
      </w:r>
      <w:r>
        <w:rPr>
          <w:color w:val="000000"/>
        </w:rPr>
        <w:t>    </w:t>
      </w:r>
      <w:r>
        <w:rPr>
          <w:rFonts w:ascii="Arial;sans-serif" w:hAnsi="Arial;sans-serif"/>
          <w:b w:val="false"/>
          <w:color w:val="000000"/>
          <w:sz w:val="20"/>
        </w:rPr>
        <w:t>September 15,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Settlement Date:</w:t>
      </w:r>
      <w:r>
        <w:rPr>
          <w:color w:val="000000"/>
        </w:rPr>
        <w:t>    </w:t>
      </w:r>
      <w:r>
        <w:rPr>
          <w:rFonts w:ascii="Arial;sans-serif" w:hAnsi="Arial;sans-serif"/>
          <w:b w:val="false"/>
          <w:color w:val="000000"/>
          <w:sz w:val="20"/>
        </w:rPr>
        <w:t>September 29, 2026 (T+10)</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Denominations:     </w:t>
      </w:r>
      <w:r>
        <w:rPr>
          <w:rFonts w:ascii="Arial;sans-serif" w:hAnsi="Arial;sans-serif"/>
          <w:b w:val="false"/>
          <w:color w:val="000000"/>
          <w:sz w:val="20"/>
        </w:rPr>
        <w:t>$2,000 and integral multiples of $1,000 in excess thereof</w:t>
      </w:r>
    </w:p>
    <w:p>
      <w:pPr>
        <w:pStyle w:val="TextBody"/>
        <w:bidi w:val="0"/>
        <w:spacing w:before="0" w:after="0"/>
        <w:jc w:val="left"/>
        <w:rPr/>
      </w:pPr>
      <w:r>
        <w:rPr/>
      </w:r>
    </w:p>
    <w:p>
      <w:pPr>
        <w:pStyle w:val="TextBody"/>
        <w:bidi w:val="0"/>
        <w:spacing w:lineRule="auto" w:line="297" w:before="0" w:after="0"/>
        <w:ind w:left="0" w:right="0" w:hanging="4261"/>
        <w:jc w:val="left"/>
        <w:rPr/>
      </w:pPr>
      <w:r>
        <w:rPr>
          <w:rFonts w:ascii="Arial;sans-serif" w:hAnsi="Arial;sans-serif"/>
          <w:b/>
          <w:color w:val="000000"/>
          <w:sz w:val="20"/>
        </w:rPr>
        <w:t>Use of Proceeds:</w:t>
      </w:r>
      <w:r>
        <w:rPr>
          <w:color w:val="000000"/>
        </w:rPr>
        <w:t>    </w:t>
      </w:r>
      <w:r>
        <w:rPr>
          <w:rFonts w:ascii="Arial;sans-serif" w:hAnsi="Arial;sans-serif"/>
          <w:b w:val="false"/>
          <w:color w:val="000000"/>
          <w:sz w:val="20"/>
        </w:rPr>
        <w:t>Xylem intends to use the net proceeds from the notes, together with cash on hand, to finance all or a portion of the purchase price payable for the Acquisition (as defined in the preliminary prospectus supplement), to pay associated costs and expenses and for general corporate purposes.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Joint Book-Running Managers:</w:t>
      </w:r>
      <w:r>
        <w:rPr>
          <w:color w:val="000000"/>
        </w:rPr>
        <w:t>    </w:t>
      </w:r>
      <w:r>
        <w:rPr>
          <w:rFonts w:ascii="Arial;sans-serif" w:hAnsi="Arial;sans-serif"/>
          <w:b w:val="false"/>
          <w:color w:val="000000"/>
          <w:sz w:val="20"/>
        </w:rPr>
        <w:t>Citigroup Global Markets Inc.</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ING Financial Markets LLC</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J.P. Morgan Securities LLC</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BNP Paribas Securities Corp.</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Wells Fargo Securities, LLC</w:t>
      </w:r>
    </w:p>
    <w:p>
      <w:pPr>
        <w:pStyle w:val="TextBody"/>
        <w:bidi w:val="0"/>
        <w:spacing w:before="0" w:after="0"/>
        <w:jc w:val="left"/>
        <w:rPr/>
      </w:pPr>
      <w:r>
        <w:rPr/>
      </w:r>
    </w:p>
    <w:p>
      <w:pPr>
        <w:pStyle w:val="TextBody"/>
        <w:bidi w:val="0"/>
        <w:spacing w:lineRule="auto" w:line="288" w:before="0" w:after="0"/>
        <w:ind w:left="0" w:right="0" w:hanging="4261"/>
        <w:jc w:val="left"/>
        <w:rPr/>
      </w:pPr>
      <w:r>
        <w:rPr>
          <w:rFonts w:ascii="Arial;sans-serif" w:hAnsi="Arial;sans-serif"/>
          <w:b/>
          <w:color w:val="000000"/>
          <w:sz w:val="20"/>
        </w:rPr>
        <w:t>Co-Managers:</w:t>
      </w:r>
      <w:r>
        <w:rPr>
          <w:color w:val="000000"/>
        </w:rPr>
        <w:t>    </w:t>
      </w:r>
      <w:r>
        <w:rPr>
          <w:rFonts w:ascii="Arial;sans-serif" w:hAnsi="Arial;sans-serif"/>
          <w:b w:val="false"/>
          <w:color w:val="000000"/>
          <w:sz w:val="20"/>
        </w:rPr>
        <w:t>TD Securities (USA) LLC</w:t>
      </w:r>
    </w:p>
    <w:p>
      <w:pPr>
        <w:pStyle w:val="TextBody"/>
        <w:bidi w:val="0"/>
        <w:spacing w:lineRule="auto" w:line="288" w:before="0" w:after="0"/>
        <w:ind w:left="0" w:right="0" w:hanging="4261"/>
        <w:jc w:val="left"/>
        <w:rPr>
          <w:color w:val="000000"/>
        </w:rPr>
      </w:pPr>
      <w:r>
        <w:rPr>
          <w:color w:val="000000"/>
        </w:rPr>
        <w:t>    </w:t>
      </w:r>
      <w:r>
        <w:rPr>
          <w:rFonts w:ascii="Arial;sans-serif" w:hAnsi="Arial;sans-serif"/>
          <w:b w:val="false"/>
          <w:color w:val="000000"/>
          <w:sz w:val="20"/>
        </w:rPr>
        <w:t>U.S. Bancorp Investments, Inc.</w:t>
      </w:r>
    </w:p>
    <w:p>
      <w:pPr>
        <w:pStyle w:val="TextBody"/>
        <w:bidi w:val="0"/>
        <w:spacing w:lineRule="auto" w:line="288" w:before="0" w:after="0"/>
        <w:ind w:left="0" w:right="0" w:hanging="4261"/>
        <w:jc w:val="left"/>
        <w:rPr>
          <w:color w:val="000000"/>
        </w:rPr>
      </w:pPr>
      <w:r>
        <w:rPr>
          <w:color w:val="000000"/>
        </w:rPr>
        <w:t>    </w:t>
      </w:r>
      <w:r>
        <w:rPr>
          <w:rFonts w:ascii="Arial;sans-serif" w:hAnsi="Arial;sans-serif"/>
          <w:b w:val="false"/>
          <w:color w:val="000000"/>
          <w:sz w:val="20"/>
        </w:rPr>
        <w:t>Deutsche Bank Securities Inc.</w:t>
      </w:r>
    </w:p>
    <w:p>
      <w:pPr>
        <w:pStyle w:val="TextBody"/>
        <w:bidi w:val="0"/>
        <w:spacing w:lineRule="auto" w:line="288" w:before="0" w:after="0"/>
        <w:ind w:left="0" w:right="0" w:hanging="4261"/>
        <w:jc w:val="left"/>
        <w:rPr/>
      </w:pPr>
      <w:r>
        <w:rPr>
          <w:color w:val="000000"/>
        </w:rPr>
        <w:t>    </w:t>
      </w:r>
      <w:r>
        <w:rPr>
          <w:rFonts w:ascii="Arial;sans-serif" w:hAnsi="Arial;sans-serif"/>
          <w:b w:val="false"/>
          <w:color w:val="000000"/>
          <w:sz w:val="20"/>
        </w:rPr>
        <w:t>Siebert Williams Shank &amp; Co., LLC</w:t>
      </w:r>
    </w:p>
    <w:p>
      <w:pPr>
        <w:pStyle w:val="TextBody"/>
        <w:bidi w:val="0"/>
        <w:spacing w:lineRule="auto" w:line="288" w:before="0" w:after="0"/>
        <w:ind w:left="0" w:right="0" w:hanging="4261"/>
        <w:jc w:val="left"/>
        <w:rPr/>
      </w:pPr>
      <w:r>
        <w:rPr>
          <w:color w:val="000000"/>
        </w:rPr>
        <w:t>    </w:t>
      </w:r>
      <w:r>
        <w:rPr>
          <w:rFonts w:ascii="Arial;sans-serif" w:hAnsi="Arial;sans-serif"/>
          <w:b w:val="false"/>
          <w:color w:val="000000"/>
          <w:sz w:val="20"/>
        </w:rPr>
        <w:t>SEB Securities, Inc.</w:t>
      </w:r>
    </w:p>
    <w:p>
      <w:pPr>
        <w:pStyle w:val="TextBody"/>
        <w:bidi w:val="0"/>
        <w:spacing w:lineRule="auto" w:line="288" w:before="0" w:after="0"/>
        <w:ind w:left="0" w:right="0" w:hanging="4261"/>
        <w:jc w:val="left"/>
        <w:rPr>
          <w:color w:val="000000"/>
        </w:rPr>
      </w:pPr>
      <w:r>
        <w:rPr>
          <w:color w:val="000000"/>
        </w:rPr>
        <w:t>    </w:t>
      </w:r>
    </w:p>
    <w:p>
      <w:pPr>
        <w:pStyle w:val="TextBody"/>
        <w:bidi w:val="0"/>
        <w:spacing w:before="0" w:after="0"/>
        <w:jc w:val="left"/>
        <w:rPr/>
      </w:pPr>
      <w:r>
        <w:rPr/>
        <w:drawing>
          <wp:inline distT="0" distB="0" distL="0" distR="0">
            <wp:extent cx="1485900" cy="14605"/>
            <wp:effectExtent l="0" t="0" r="0" b="0"/>
            <wp:docPr id="4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 descr=""/>
                    <pic:cNvPicPr>
                      <a:picLocks noChangeAspect="1" noChangeArrowheads="1"/>
                    </pic:cNvPicPr>
                  </pic:nvPicPr>
                  <pic:blipFill>
                    <a:blip r:embed="rId2"/>
                    <a:stretch>
                      <a:fillRect/>
                    </a:stretch>
                  </pic:blipFill>
                  <pic:spPr bwMode="auto">
                    <a:xfrm>
                      <a:off x="0" y="0"/>
                      <a:ext cx="14859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jc w:val="center"/>
        <w:rPr>
          <w:rFonts w:ascii="Arial;sans-serif" w:hAnsi="Arial;sans-serif"/>
          <w:b/>
          <w:color w:val="000000"/>
          <w:sz w:val="20"/>
        </w:rPr>
      </w:pPr>
      <w:r>
        <w:rPr>
          <w:rFonts w:ascii="Arial;sans-serif" w:hAnsi="Arial;sans-serif"/>
          <w:b/>
          <w:color w:val="000000"/>
          <w:sz w:val="20"/>
        </w:rPr>
        <w:t>Terms Applicable to the</w:t>
        <w:br/>
        <w:t>5.250% Senior Notes due 2029</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45"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31"/>
        <w:gridCol w:w="410"/>
        <w:gridCol w:w="412"/>
        <w:gridCol w:w="109"/>
        <w:gridCol w:w="109"/>
        <w:gridCol w:w="109"/>
        <w:gridCol w:w="2727"/>
        <w:gridCol w:w="2358"/>
        <w:gridCol w:w="3340"/>
      </w:tblGrid>
      <w:tr>
        <w:trPr/>
        <w:tc>
          <w:tcPr>
            <w:tcW w:w="63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 xml:space="preserve">$500,000,000 </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September 28, 2029</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Public Offering Price: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99.959% of the principal amount</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Benchmark Treasury: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4.375% due September 15, 2029</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Benchmark Treasury Price and Yield: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98-29+; 4.765%</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Spread to Benchmark Treasury: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br/>
              <w:t>+50 bps</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Yield to Maturity: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5.265%</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Coupon: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5.250%</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Interest Payment Dates: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March 28 and September 28 of each year, commencing on March 28, 2027</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Day Count Convention: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30 / 360</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 xml:space="preserve">Make-Whole Call: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Prior to August 28, 2029 at +10 bps</w:t>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Par Call: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On or after August 28, 2029</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Change of Control: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Puttable at 101% of principal plus accrued interest</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Special Mandatory Redemption: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If (i) we do not consummate the Acquisition on or prior to the later of (x) August 10, 2027 and (y) such later date to which the termination date under the EPA (as defined in the preliminary prospectus supplement) as in effect on the closing date of this offering may be amended in accordance with the terms thereof (such later date, the “Special Mandatory Redemption End Date”), (ii) on or prior to the Special Mandatory Redemption End Date, the EPA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 (as defined in the preliminary prospectus supplement).</w:t>
            </w:r>
          </w:p>
        </w:tc>
      </w:tr>
      <w:tr>
        <w:trPr/>
        <w:tc>
          <w:tcPr>
            <w:tcW w:w="14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CUSIP / ISIN: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2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98419M AQ3 / US98419MAQ33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46"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drawing>
          <wp:inline distT="0" distB="0" distL="0" distR="0">
            <wp:extent cx="1485900" cy="14605"/>
            <wp:effectExtent l="0" t="0" r="0" b="0"/>
            <wp:docPr id="4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 descr=""/>
                    <pic:cNvPicPr>
                      <a:picLocks noChangeAspect="1" noChangeArrowheads="1"/>
                    </pic:cNvPicPr>
                  </pic:nvPicPr>
                  <pic:blipFill>
                    <a:blip r:embed="rId3"/>
                    <a:stretch>
                      <a:fillRect/>
                    </a:stretch>
                  </pic:blipFill>
                  <pic:spPr bwMode="auto">
                    <a:xfrm>
                      <a:off x="0" y="0"/>
                      <a:ext cx="1485900" cy="1460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Terms Applicable to the</w:t>
        <w:br/>
        <w:t>5.450% Senior Notes due 2032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69"/>
        <w:gridCol w:w="451"/>
        <w:gridCol w:w="454"/>
        <w:gridCol w:w="109"/>
        <w:gridCol w:w="109"/>
        <w:gridCol w:w="109"/>
        <w:gridCol w:w="2668"/>
        <w:gridCol w:w="2333"/>
        <w:gridCol w:w="3303"/>
      </w:tblGrid>
      <w:tr>
        <w:trPr/>
        <w:tc>
          <w:tcPr>
            <w:tcW w:w="66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 xml:space="preserve">$500,000,000 </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January 15, 2032</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Public Offering Price: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99.841% of the principal amount</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Benchmark Treasury: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4.375% due August 31, 2031</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Benchmark Treasury Price and Yield: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97-31+; 4.837%</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Spread to Benchmark Treasury: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+65 bps</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Yield to Maturity: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5.487%</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Coupon: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5.450%</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Interest Payment Dates: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January 15 and July 15 of each year, commencing on January 15, 2027 (short first coupon)</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Day Count Convention: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30 / 360</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Make-Whole Call: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Prior to December 15, 2031 at +10 bps</w:t>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Par Call: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On or after December 15, 2031</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Change of Control: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Puttable at 101% of principal plus accrued interest</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Special Mandatory Redemption: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CUSIP / ISIN: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98419M AR1 / US98419MAR16</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48"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drawing>
          <wp:inline distT="0" distB="0" distL="0" distR="0">
            <wp:extent cx="1485900" cy="14605"/>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4"/>
                    <a:stretch>
                      <a:fillRect/>
                    </a:stretch>
                  </pic:blipFill>
                  <pic:spPr bwMode="auto">
                    <a:xfrm>
                      <a:off x="0" y="0"/>
                      <a:ext cx="1485900" cy="1460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Terms Applicable to the</w:t>
        <w:br/>
        <w:t>5.850% Senior Notes due 2037</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69"/>
        <w:gridCol w:w="451"/>
        <w:gridCol w:w="454"/>
        <w:gridCol w:w="109"/>
        <w:gridCol w:w="109"/>
        <w:gridCol w:w="109"/>
        <w:gridCol w:w="2668"/>
        <w:gridCol w:w="2333"/>
        <w:gridCol w:w="3303"/>
      </w:tblGrid>
      <w:tr>
        <w:trPr/>
        <w:tc>
          <w:tcPr>
            <w:tcW w:w="66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 xml:space="preserve">$500,000,000 </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January 15, 2037</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Public Offering Price: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99.918% of the principal amount</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Benchmark Treasury: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4.625% due August 15, 2036</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Benchmark Treasury Price and Yield: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97-00; 5.012%</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Spread to Benchmark Treasury: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+85 bps</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Yield to Maturity: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5.862%</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Coupon: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5.850%</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Interest Payment Dates: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January 15 and July 15 of each year, commencing on January 15, 2027 (short first coupon)</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Day Count Convention: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30 / 360</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Make-Whole Call: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Prior to October 15, 2036 at +15 bps</w:t>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Par Call: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On or after October 15, 2036</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Change of Control: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Puttable at 101% of principal plus accrued interest</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Special Mandatory Redemption: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If (i) we do not consummate the Acquisition on or prior to the Special Mandatory Redemption End Date, (ii) on or prior to the Special Mandatory Redemption End Date, the EPA is terminated or (iii) we otherwise notify the trustee in writing that we will not pursue the consummation of the Acquisition, then we will be required to redeem all of the notes of each series at a redemption price equal to 101% of the aggregate principal amount of such notes, plus accrued and unpaid interest thereon, if any, to, but excluding, the Special Mandatory Redemption Date.</w:t>
            </w:r>
          </w:p>
        </w:tc>
      </w:tr>
      <w:tr>
        <w:trPr/>
        <w:tc>
          <w:tcPr>
            <w:tcW w:w="15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color w:val="000000"/>
                <w:sz w:val="20"/>
              </w:rPr>
            </w:pPr>
            <w:r>
              <w:rPr>
                <w:rFonts w:ascii="Arial;sans-serif" w:hAnsi="Arial;sans-serif"/>
                <w:b/>
                <w:color w:val="000000"/>
                <w:sz w:val="20"/>
              </w:rPr>
              <w:t>CUSIP / ISIN: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04"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Arial;sans-serif" w:hAnsi="Arial;sans-serif"/>
                <w:b w:val="false"/>
                <w:color w:val="000000"/>
                <w:sz w:val="20"/>
              </w:rPr>
            </w:pPr>
            <w:r>
              <w:rPr>
                <w:rFonts w:ascii="Arial;sans-serif" w:hAnsi="Arial;sans-serif"/>
                <w:b w:val="false"/>
                <w:color w:val="000000"/>
                <w:sz w:val="20"/>
              </w:rPr>
              <w:t>98419M AS9 / US98419MAS98</w:t>
            </w:r>
          </w:p>
        </w:tc>
      </w:tr>
    </w:tbl>
    <w:p>
      <w:pPr>
        <w:pStyle w:val="TextBody"/>
        <w:bidi w:val="0"/>
        <w:spacing w:before="0" w:after="0"/>
        <w:jc w:val="left"/>
        <w:rPr/>
      </w:pPr>
      <w:r>
        <w:rPr/>
      </w:r>
    </w:p>
    <w:p>
      <w:pPr>
        <w:pStyle w:val="TextBody"/>
        <w:bidi w:val="0"/>
        <w:spacing w:lineRule="auto" w:line="288"/>
        <w:jc w:val="left"/>
        <w:rPr/>
      </w:pPr>
      <w:r>
        <w:rPr/>
        <w:drawing>
          <wp:inline distT="0" distB="0" distL="0" distR="0">
            <wp:extent cx="1485900" cy="14605"/>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5"/>
                    <a:stretch>
                      <a:fillRect/>
                    </a:stretch>
                  </pic:blipFill>
                  <pic:spPr bwMode="auto">
                    <a:xfrm>
                      <a:off x="0" y="0"/>
                      <a:ext cx="1485900" cy="14605"/>
                    </a:xfrm>
                    <a:prstGeom prst="rect">
                      <a:avLst/>
                    </a:prstGeom>
                  </pic:spPr>
                </pic:pic>
              </a:graphicData>
            </a:graphic>
          </wp:inline>
        </w:drawing>
      </w:r>
      <w:r>
        <w:rPr>
          <w:rFonts w:ascii="Arial;sans-serif" w:hAnsi="Arial;sans-serif"/>
          <w:b/>
          <w:color w:val="000000"/>
          <w:sz w:val="20"/>
        </w:rPr>
        <w:t>*Note: A securities rating is not a recommendation to buy, sell or hold securities and may be subject to revision or withdrawal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51"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11" w:after="283"/>
        <w:jc w:val="left"/>
        <w:rPr/>
      </w:pPr>
      <w:r>
        <w:rPr/>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Xylem Inc. (the “Issuer”) has filed a registration statement (including a prospectus, as supplemented) with the SEC for the offering to which this communication relates. Before you invest, you should read the prospectus (as supplemented)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Citigroup Global Markets Inc. toll-free at (800) 831-9146, ING Financial Markets LLC toll-free at (877) 446-4930, J.P. Morgan Securities LLC collect at (212) 834-4533, BNP Paribas Securities Corp. toll-free at (800) 854-5674 or Wells Fargo Securities, LLC toll-free at (800) 645-3751.</w:t>
      </w:r>
    </w:p>
    <w:p>
      <w:pPr>
        <w:pStyle w:val="TextBody"/>
        <w:bidi w:val="0"/>
        <w:spacing w:before="11" w:after="283"/>
        <w:jc w:val="left"/>
        <w:rPr/>
      </w:pPr>
      <w:r>
        <w:rPr/>
      </w:r>
    </w:p>
    <w:p>
      <w:pPr>
        <w:pStyle w:val="TextBody"/>
        <w:bidi w:val="0"/>
        <w:spacing w:lineRule="auto" w:line="288"/>
        <w:jc w:val="left"/>
        <w:rPr>
          <w:rFonts w:ascii="Arial;sans-serif" w:hAnsi="Arial;sans-serif"/>
          <w:b/>
          <w:color w:val="000000"/>
          <w:sz w:val="20"/>
        </w:rPr>
      </w:pPr>
      <w:r>
        <w:rPr>
          <w:rFonts w:ascii="Arial;sans-serif" w:hAnsi="Arial;sans-serif"/>
          <w:b/>
          <w:color w:val="000000"/>
          <w:sz w:val="20"/>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52"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5729" w:type="dxa"/>
        <w:jc w:val="left"/>
        <w:tblInd w:w="0" w:type="dxa"/>
        <w:tblLayout w:type="fixed"/>
        <w:tblCellMar>
          <w:top w:w="28" w:type="dxa"/>
          <w:left w:w="28" w:type="dxa"/>
          <w:bottom w:w="28" w:type="dxa"/>
          <w:right w:w="28" w:type="dxa"/>
        </w:tblCellMar>
      </w:tblPr>
      <w:tblGrid>
        <w:gridCol w:w="1834"/>
        <w:gridCol w:w="1613"/>
        <w:gridCol w:w="2282"/>
      </w:tblGrid>
      <w:tr>
        <w:trPr/>
        <w:tc>
          <w:tcPr>
            <w:tcW w:w="1834"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before="0" w:after="0"/>
              <w:jc w:val="right"/>
              <w:rPr/>
            </w:pPr>
            <w:r>
              <w:rPr/>
            </w:r>
          </w:p>
          <w:p>
            <w:pPr>
              <w:pStyle w:val="TableContents"/>
              <w:bidi w:val="0"/>
              <w:spacing w:lineRule="auto" w:line="288" w:before="240" w:after="283"/>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XYLEM INC.,</w:t>
            </w:r>
          </w:p>
          <w:p>
            <w:pPr>
              <w:pStyle w:val="TableContents"/>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as Issuer,</w:t>
            </w:r>
          </w:p>
          <w:p>
            <w:pPr>
              <w:pStyle w:val="TableContents"/>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DEUTSCHE BANK TRUST COMPANY AMERICAS,</w:t>
              <w:br/>
              <w:br/>
              <w:t>as Trustee</w:t>
            </w:r>
          </w:p>
          <w:p>
            <w:pPr>
              <w:pStyle w:val="TableContents"/>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ableContents"/>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SIXTH SUPPLEMENTAL INDENTURE</w:t>
            </w:r>
          </w:p>
          <w:p>
            <w:pPr>
              <w:pStyle w:val="TableContents"/>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Dated as of September 29, 2026</w:t>
            </w:r>
          </w:p>
          <w:p>
            <w:pPr>
              <w:pStyle w:val="TableContents"/>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to</w:t>
            </w:r>
          </w:p>
          <w:p>
            <w:pPr>
              <w:pStyle w:val="TableContents"/>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INDENTURE</w:t>
            </w:r>
          </w:p>
          <w:p>
            <w:pPr>
              <w:pStyle w:val="TableContents"/>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Dated as of March 11, 2016</w:t>
            </w:r>
          </w:p>
          <w:p>
            <w:pPr>
              <w:pStyle w:val="TableContents"/>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Relating to</w:t>
            </w:r>
          </w:p>
          <w:p>
            <w:pPr>
              <w:pStyle w:val="TableContents"/>
              <w:bidi w:val="0"/>
              <w:spacing w:lineRule="auto" w:line="288" w:before="120" w:after="283"/>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$500,000,000 5.250% Senior Notes due 2029</w:t>
            </w:r>
          </w:p>
          <w:p>
            <w:pPr>
              <w:pStyle w:val="TableContents"/>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$500,000,000 5.450% Senior Notes due 2032</w:t>
            </w:r>
          </w:p>
          <w:p>
            <w:pPr>
              <w:pStyle w:val="TableContents"/>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$500,000,000 5.850% Senior Notes due 2037</w:t>
            </w:r>
          </w:p>
          <w:p>
            <w:pPr>
              <w:pStyle w:val="TableContents"/>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r>
          </w:p>
        </w:tc>
      </w:tr>
    </w:tbl>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SIXTH SUPPLEMENTAL INDENTURE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SUPPLEMENTAL INDENTURE No. 6 (this “Supplemental Indenture No. 6”), dated as of September 29, 2026, is between XYLEM INC., an Indiana corporation (the “Company”), and DEUTSCHE BANK TRUST COMPANY AMERICAS, a New York banking corporation, as Trustee (the “Trustee”).</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WHEREAS, the Company has heretofore executed and delivered to the Trustee an Indenture dated as of March 11, 2016 between the Company and the Trustee (the “Original Indenture”), as amended and supplemented by a Supplemental Indenture No. 1 dated as of March 11, 2016 between the Company and the Trustee (“Supplemental Indenture No. 1”; the Original Indenture as so amended and supplemented, the “Base Indenture”; and the Base Indenture as further supplemented by this Supplemental Indenture No. 6, the “Indenture”), providing for the issuance from time to time of series of the Company’s Securities;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WHEREAS, Section 9.01(g) of the Base Indenture provides for the Company and the Trustee to enter into an indenture supplemental to the Base Indenture to establish the forms or terms of Securities of any series as permitted by Section 2.02 or Section 3.01 of the Base Indenture;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WHEREAS, pursuant to Section 3.01 of the Base Indenture, the Company wishes to provide for the issuance of three new series of Securities to be known respectively as its 5.250% Senior Notes due 2029 (the “2029 Notes”), its 5.450% Senior Notes due 2032 (the “2032 Notes”) and its 5.850% Senior Notes due 2037 (the “2037 Notes” and collectively with the 2029 Notes and the 2032 Notes, the “Notes”), the form and terms of each such series of Notes and the terms, provisions and conditions thereof to be as set forth in this Supplemental Indenture No. 6; and</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WHEREAS, the Company has requested that the Trustee execute and deliver this Supplemental Indenture No. 6 and all requirements necessary to make this Supplemental Indenture No. 6 a valid, binding and enforceable instrument in accordance with its terms, and to make the Notes, when executed by the Company and authenticated and delivered by the Trustee, the valid, binding and enforceable obligations of the Company, have been done and performed, and the execution and delivery of this Supplemental Indenture No. 6 has been duly authorized in all respects.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covenants and agreements set forth herein and for other good and valuable consideration, the receipt and sufficiency of which are hereby acknowledged, the parties hereto hereby agree as follows:</w:t>
      </w:r>
    </w:p>
    <w:p>
      <w:pPr>
        <w:pStyle w:val="TextBody"/>
        <w:bidi w:val="0"/>
        <w:spacing w:lineRule="auto" w:line="319" w:before="0" w:after="200"/>
        <w:jc w:val="center"/>
        <w:rPr/>
      </w:pPr>
      <w:r>
        <w:rPr>
          <w:rFonts w:ascii="Times New Roman;serif" w:hAnsi="Times New Roman;serif"/>
          <w:b/>
          <w:color w:val="000000"/>
          <w:sz w:val="20"/>
        </w:rPr>
        <w:t>Article 1</w:t>
      </w:r>
      <w:r>
        <w:rPr>
          <w:rFonts w:ascii="Times New Roman;serif" w:hAnsi="Times New Roman;serif"/>
          <w:b/>
          <w:color w:val="000000"/>
          <w:sz w:val="24"/>
        </w:rPr>
        <w:br/>
        <w:t>DEFINITIONS</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1.01.</w:t>
      </w:r>
      <w:r>
        <w:rPr>
          <w:rFonts w:ascii="Times New Roman;serif" w:hAnsi="Times New Roman;serif"/>
          <w:b w:val="false"/>
          <w:i/>
          <w:color w:val="000000"/>
          <w:sz w:val="24"/>
        </w:rPr>
        <w:t>Relation to Base Indenture</w:t>
      </w:r>
      <w:r>
        <w:rPr>
          <w:rFonts w:ascii="Times New Roman;serif" w:hAnsi="Times New Roman;serif"/>
          <w:b w:val="false"/>
          <w:color w:val="000000"/>
          <w:sz w:val="24"/>
        </w:rPr>
        <w:t>. This Supplemental Indenture No. 6 constitutes an integral part of the Base Indenture.</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1.02.</w:t>
      </w:r>
      <w:r>
        <w:rPr>
          <w:rFonts w:ascii="Times New Roman;serif" w:hAnsi="Times New Roman;serif"/>
          <w:b w:val="false"/>
          <w:i/>
          <w:color w:val="000000"/>
          <w:sz w:val="24"/>
        </w:rPr>
        <w:t>Definition of Terms</w:t>
      </w:r>
      <w:r>
        <w:rPr>
          <w:rFonts w:ascii="Times New Roman;serif" w:hAnsi="Times New Roman;serif"/>
          <w:b w:val="false"/>
          <w:color w:val="000000"/>
          <w:sz w:val="24"/>
        </w:rPr>
        <w:t>. For all purposes of this Supplemental Indenture No. 6:</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ind w:left="0" w:right="0" w:firstLine="360"/>
        <w:jc w:val="left"/>
        <w:rPr/>
      </w:pPr>
      <w:r>
        <w:rPr>
          <w:rFonts w:ascii="Times New Roman;serif" w:hAnsi="Times New Roman;serif"/>
          <w:b w:val="false"/>
          <w:color w:val="000000"/>
          <w:sz w:val="20"/>
        </w:rPr>
        <w:t>(a)</w:t>
      </w:r>
      <w:r>
        <w:rPr>
          <w:rFonts w:ascii="Times New Roman;serif" w:hAnsi="Times New Roman;serif"/>
          <w:b w:val="false"/>
          <w:color w:val="000000"/>
          <w:sz w:val="24"/>
        </w:rPr>
        <w:t>capitalized terms used herein without definition shall have the meanings set forth in the Base Indenture;</w:t>
      </w:r>
    </w:p>
    <w:p>
      <w:pPr>
        <w:pStyle w:val="TextBody"/>
        <w:bidi w:val="0"/>
        <w:spacing w:lineRule="auto" w:line="240" w:before="0" w:after="200"/>
        <w:ind w:left="0" w:right="0" w:firstLine="360"/>
        <w:jc w:val="left"/>
        <w:rPr/>
      </w:pPr>
      <w:r>
        <w:rPr>
          <w:rFonts w:ascii="Times New Roman;serif" w:hAnsi="Times New Roman;serif"/>
          <w:b w:val="false"/>
          <w:color w:val="000000"/>
          <w:sz w:val="20"/>
        </w:rPr>
        <w:t>(b)</w:t>
      </w:r>
      <w:r>
        <w:rPr>
          <w:rFonts w:ascii="Times New Roman;serif" w:hAnsi="Times New Roman;serif"/>
          <w:b w:val="false"/>
          <w:color w:val="000000"/>
          <w:sz w:val="24"/>
        </w:rPr>
        <w:t xml:space="preserve">a term defined anywhere in this Supplemental Indenture No. 6 has the same meaning throughout; </w:t>
      </w:r>
    </w:p>
    <w:p>
      <w:pPr>
        <w:pStyle w:val="TextBody"/>
        <w:bidi w:val="0"/>
        <w:spacing w:lineRule="auto" w:line="240" w:before="0" w:after="200"/>
        <w:ind w:left="0" w:right="0" w:firstLine="360"/>
        <w:jc w:val="left"/>
        <w:rPr/>
      </w:pPr>
      <w:r>
        <w:rPr>
          <w:rFonts w:ascii="Times New Roman;serif" w:hAnsi="Times New Roman;serif"/>
          <w:b w:val="false"/>
          <w:color w:val="000000"/>
          <w:sz w:val="20"/>
        </w:rPr>
        <w:t>(c)</w:t>
      </w:r>
      <w:r>
        <w:rPr>
          <w:rFonts w:ascii="Times New Roman;serif" w:hAnsi="Times New Roman;serif"/>
          <w:b w:val="false"/>
          <w:color w:val="000000"/>
          <w:sz w:val="24"/>
        </w:rPr>
        <w:t>the singular includes the plural and vice versa;</w:t>
      </w:r>
    </w:p>
    <w:p>
      <w:pPr>
        <w:pStyle w:val="TextBody"/>
        <w:bidi w:val="0"/>
        <w:spacing w:lineRule="auto" w:line="240" w:before="0" w:after="200"/>
        <w:ind w:left="0" w:right="0" w:firstLine="360"/>
        <w:jc w:val="left"/>
        <w:rPr/>
      </w:pPr>
      <w:r>
        <w:rPr>
          <w:rFonts w:ascii="Times New Roman;serif" w:hAnsi="Times New Roman;serif"/>
          <w:b w:val="false"/>
          <w:color w:val="000000"/>
          <w:sz w:val="20"/>
        </w:rPr>
        <w:t>(d)</w:t>
      </w:r>
      <w:r>
        <w:rPr>
          <w:rFonts w:ascii="Times New Roman;serif" w:hAnsi="Times New Roman;serif"/>
          <w:b w:val="false"/>
          <w:color w:val="000000"/>
          <w:sz w:val="24"/>
        </w:rPr>
        <w:t>headings are for convenience of reference only and do not affect interpretation; and</w:t>
      </w:r>
    </w:p>
    <w:p>
      <w:pPr>
        <w:pStyle w:val="TextBody"/>
        <w:bidi w:val="0"/>
        <w:spacing w:lineRule="auto" w:line="240" w:before="0" w:after="200"/>
        <w:ind w:left="0" w:right="0" w:firstLine="360"/>
        <w:jc w:val="left"/>
        <w:rPr/>
      </w:pPr>
      <w:r>
        <w:rPr>
          <w:rFonts w:ascii="Times New Roman;serif" w:hAnsi="Times New Roman;serif"/>
          <w:b w:val="false"/>
          <w:color w:val="000000"/>
          <w:sz w:val="20"/>
        </w:rPr>
        <w:t>(e)</w:t>
      </w:r>
      <w:r>
        <w:rPr>
          <w:rFonts w:ascii="Times New Roman;serif" w:hAnsi="Times New Roman;serif"/>
          <w:b w:val="false"/>
          <w:color w:val="000000"/>
          <w:sz w:val="24"/>
        </w:rPr>
        <w:t>the following terms have the meanings given to them in this Section 1.02(e):</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Acquisition” shall mean the proposed acquisition of the Cornell Pump and Roper Pump businesses from Indicor, LLC pursuant to the EPA.</w:t>
      </w:r>
    </w:p>
    <w:p>
      <w:pPr>
        <w:pStyle w:val="TextBody"/>
        <w:bidi w:val="0"/>
        <w:spacing w:lineRule="auto" w:line="288" w:before="0" w:after="200"/>
        <w:ind w:left="0" w:right="0" w:firstLine="360"/>
        <w:jc w:val="left"/>
        <w:rPr/>
      </w:pPr>
      <w:r>
        <w:rPr>
          <w:color w:val="000000"/>
        </w:rPr>
        <w:t>“</w:t>
      </w:r>
      <w:r>
        <w:rPr>
          <w:rFonts w:ascii="Times New Roman;serif" w:hAnsi="Times New Roman;serif"/>
          <w:b w:val="false"/>
          <w:color w:val="000000"/>
          <w:sz w:val="24"/>
        </w:rPr>
        <w:t xml:space="preserve">Business Day” shall mean </w:t>
      </w:r>
      <w:r>
        <w:rPr>
          <w:rFonts w:ascii="Times New Roman;serif" w:hAnsi="Times New Roman;serif"/>
          <w:b w:val="false"/>
          <w:color w:val="231F20"/>
          <w:sz w:val="24"/>
        </w:rPr>
        <w:t>any day, other than a Saturday or Sunday, which is not a day on which banking institutions in The City of New York are authorized or required by law or executive order to close.</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 xml:space="preserve">Change of Control” shall mean the occurrence of any one of the following: (1) the direct or indirect sale, lease, transfer, conveyance or other disposition (other than by way of merger, amalgamation, arrangement or consolidation), in one or a series of related transactions, of all or substantially all of the Company’s properties or assets and those of the Company’s subsidiaries, taken as a whole, to one or more persons, other than to the Company or one of the Company’s subsidiaries; (2) the first day on which a majority of the members of the Company’s board of directors is not composed of directors who (a) were members of the Company’s board of directors on the issue date or (b) were nominated for election, elected or appointed to the Company’s board of directors with the approval of a majority of the directors who were members of the Company’s board of directors at the time of such nomination, election or appointment (either by a specific vote or by approval by such directors of the Company’s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the Company’s voting stock; (4) the Company consolidates with, or merges with or into, any person, or any person consolidates with, or merges with or into, the Company, in any such event pursuant to a transaction in which any of the outstanding voting stock of the Company or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voting stock of the surviving person immediately after giving effect to such transaction; or (5) the adoption of a plan relating to the Company’s liquidation or dissolution (other than the Company’s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 (2)(A)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Securities Exchange Act of 1934, as amended (the “Exchange Act”). </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Change of Control Offer” shall have the meaning set forth in Section 4.01(a).</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Change of Control Purchase Price” shall have the meaning set forth in Section 4.01(a).</w:t>
      </w:r>
    </w:p>
    <w:p>
      <w:pPr>
        <w:pStyle w:val="TextBody"/>
        <w:bidi w:val="0"/>
        <w:spacing w:lineRule="auto" w:line="288" w:before="0" w:after="200"/>
        <w:ind w:left="0" w:right="0" w:firstLine="360"/>
        <w:jc w:val="left"/>
        <w:rPr/>
      </w:pPr>
      <w:r>
        <w:rPr>
          <w:color w:val="000000"/>
        </w:rPr>
        <w:t>“</w:t>
      </w:r>
      <w:r>
        <w:rPr>
          <w:rFonts w:ascii="Times New Roman;serif" w:hAnsi="Times New Roman;serif"/>
          <w:b w:val="false"/>
          <w:color w:val="000000"/>
          <w:sz w:val="24"/>
        </w:rPr>
        <w:t>Change of Control Triggering Event” shall mean the occurrence of both a Change of Control and a Ratings Downgrade Event. Notwithstanding the foregoing, no Change of Control Triggering Event will be deemed to have occurred in connection with any particular Change of Control unless and until such Change of Control has actually been consummated</w:t>
      </w:r>
      <w:r>
        <w:rPr>
          <w:rFonts w:ascii="Times New Roman;serif" w:hAnsi="Times New Roman;serif"/>
          <w:b w:val="false"/>
          <w:color w:val="231F20"/>
          <w:sz w:val="24"/>
        </w:rPr>
        <w:t>.</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EPA” shall mean the equity purchase agreement dated August 10, 2026, by and among the Company, Indicor, LLC, Flow Controls Holding, LLC, Xylem Water Solutions U.S.A., Inc., and, solely to the extent set forth therein, CD&amp;R Tree Delaware Holdings, L.P., Project Pump Curve LLC, Indicor Holdings Management Feeder, LLC, CD&amp;R Flow Controls Blocker I, LLC and CD&amp;R Flow Controls Blocker II, LLC..</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Fitch” shall mean Fitch Inc.</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Global Note” shall have the meaning set forth in Section 2.04.</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Interest Payment Date” shall have the meaning set forth in Section 2.05(a).</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Maturity Date” shall mean September 28, 2029 in the case of the 2029 Notes, January 15, 2032 in the case of the 2032 Notes and January 15, 2037 in the case of the 2037 Notes.</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Moody’s” shall mean Moody’s Investors Service, Inc.</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Officer’s Certificate” means a certificate signed by any of the Chairman, Chief Executive Officer, Chief Financial Officer, any Senior Vice President or Vice President, the Treasurer, and any Assistant Treasurer of the Company, or by any other officer of the Company pursuant to any applicable Board Resolution, and delivered to the Trustee. All references in the Indenture to Officers’ Certificate shall be replaced by Officer’s Certificate.</w:t>
      </w:r>
    </w:p>
    <w:p>
      <w:pPr>
        <w:pStyle w:val="TextBody"/>
        <w:bidi w:val="0"/>
        <w:spacing w:lineRule="auto" w:line="290" w:before="0" w:after="200"/>
        <w:ind w:left="0" w:right="0" w:firstLine="360"/>
        <w:jc w:val="left"/>
        <w:rPr>
          <w:color w:val="231F20"/>
        </w:rPr>
      </w:pPr>
      <w:r>
        <w:rPr>
          <w:color w:val="231F20"/>
        </w:rPr>
        <w:t>“</w:t>
      </w:r>
      <w:r>
        <w:rPr>
          <w:rFonts w:ascii="Times New Roman;serif" w:hAnsi="Times New Roman;serif"/>
          <w:b w:val="false"/>
          <w:color w:val="231F20"/>
          <w:sz w:val="24"/>
        </w:rPr>
        <w:t>Par Call Date” shall mean, in the case of the 2029 Notes, August 28, 2029 (one month prior to their Maturity Date), in the case of the 2032 Notes, December 15, 2031 (one month prior to their Maturity Date) and, in the case of the 2037 Notes, October 15, 2036 (three months prior to their Maturity Date).</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 xml:space="preserve">Rating Agency” shall mean (1) each of Fitch, Moody’s and S&amp;P; or (2) if any of Moody’s Fitch or S&amp;P ceases to rate the Notes or fails to make a rating of the Notes publicly available for reasons outside of the Company’s control, a “nationally recognized statistical rating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organization” as defined under Section 3(a)(62) of the Exchange Act selected by the Company as a replacement Rating Agency for Moody’s, Fitch or S&amp;P as the case may be.</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Ratings Downgrade Event” shall mean that the Notes cease to be rated equal to or higher than BBB- (or the equivalent) by Fitch, Baa3 (or the equivalent) by Moody’s or BBB- (or the equivalent) by S&amp;P, and the equivalent investment grade credit rating from any replacement Rating Agency or replacement Rating Agencies selected by the Company on any date, during the 60-day period commencing upon the earlier of (1) the first public announcement of the Change of Control or the Company’s intention to effect a Change of Control and (2) the consummation of such Change of Control, which period will be extended following consummation of a Change of Control for so long as the rating of the Notes is under publicly announced consideration for possible downgrade by any of the Rating Agencies. Unless at least one Rating Agency is providing a rating for the Notes at the commencement of any such period, the Notes will be deemed to have ceased to be rated as described above during such period.</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Redemption Date” shall mean, with respect to any redemption of the Notes, the date fixed for such redemption pursuant to the Indenture and such Notes.</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S&amp;P” shall mean S&amp;P Global Ratings, a division of S&amp;P Global Inc.</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Special Mandatory Redemption” shall have the meaning set forth in Section 3.01(a).</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Special Mandatory Redemption Date” shall have the meaning set forth in Section 3.01(b).</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Special Mandatory Redemption End Date” shall have the meaning set forth in Section 3.01(a).</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Special Mandatory Redemption Event” shall have the meaning set forth in Section 3.01(a).</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Special Mandatory Redemption Notice” shall have the meaning set forth in Section 3.01(b).</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Special Mandatory Redemption Price” shall have the meaning set forth in Section 3.01(a).</w:t>
      </w:r>
    </w:p>
    <w:p>
      <w:pPr>
        <w:pStyle w:val="TextBody"/>
        <w:bidi w:val="0"/>
        <w:spacing w:lineRule="auto" w:line="288" w:before="0" w:after="200"/>
        <w:ind w:left="0" w:right="0" w:firstLine="360"/>
        <w:jc w:val="left"/>
        <w:rPr>
          <w:color w:val="000000"/>
        </w:rPr>
      </w:pPr>
      <w:r>
        <w:rPr>
          <w:color w:val="000000"/>
        </w:rPr>
        <w:t>“</w:t>
      </w:r>
      <w:r>
        <w:rPr>
          <w:rFonts w:ascii="Times New Roman;serif" w:hAnsi="Times New Roman;serif"/>
          <w:b w:val="false"/>
          <w:color w:val="000000"/>
          <w:sz w:val="24"/>
        </w:rPr>
        <w:t>Treasury Rate” means, with respect to any Redemption Date for a series of the Notes, the yield applicable to such series of the Notes determined by the Company in accordance with the following two paragraphs.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 xml:space="preserve">The Treasury Rate applicable to a series of the Notes shall be determined by the Company after 4:15 p.m., New York City time (or after such time as yields on U.S. government securities are posted daily by the Board of Governors of the Federal Reserve System), on the third Business Day preceding the relevant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applicable Treasury Rate, the Company shall select, as applicable: (1) the yield for the Treasury constant maturity on H.15 exactly equal to the period from the relevant Redemption Date to the applicable Par Call Date (the “Remaining Life”); or (2)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relevant Redemption Date.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on the third Business Day preceding the relevant Redemption Date H.15 TCM is no longer published, the Company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terms “Company,” “Trustee,” “Indenture,” “Base Indenture,” “Supplemental Indenture No. 6,” “2029 Notes,” “2032 Notes,” “2037 Notes” and “Notes” shall have the respective meanings set forth in the preamble and recitals to this Supplemental Indenture No. 6.</w:t>
      </w:r>
    </w:p>
    <w:p>
      <w:pPr>
        <w:pStyle w:val="TextBody"/>
        <w:bidi w:val="0"/>
        <w:spacing w:lineRule="auto" w:line="319" w:before="0" w:after="200"/>
        <w:jc w:val="center"/>
        <w:rPr/>
      </w:pPr>
      <w:r>
        <w:rPr>
          <w:rFonts w:ascii="Times New Roman;serif" w:hAnsi="Times New Roman;serif"/>
          <w:b/>
          <w:color w:val="000000"/>
          <w:sz w:val="20"/>
        </w:rPr>
        <w:t>Article 2</w:t>
      </w:r>
      <w:r>
        <w:rPr>
          <w:rFonts w:ascii="Times New Roman;serif" w:hAnsi="Times New Roman;serif"/>
          <w:b/>
          <w:color w:val="000000"/>
          <w:sz w:val="24"/>
        </w:rPr>
        <w:br/>
        <w:t>GENERAL TERMS AND CONDITIONS OF THE NOTES</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2.01.</w:t>
      </w:r>
      <w:r>
        <w:rPr>
          <w:rFonts w:ascii="Times New Roman;serif" w:hAnsi="Times New Roman;serif"/>
          <w:b w:val="false"/>
          <w:i/>
          <w:color w:val="000000"/>
          <w:sz w:val="24"/>
        </w:rPr>
        <w:t>Designation and Principal Amount</w:t>
      </w:r>
      <w:r>
        <w:rPr>
          <w:rFonts w:ascii="Times New Roman;serif" w:hAnsi="Times New Roman;serif"/>
          <w:b w:val="false"/>
          <w:color w:val="000000"/>
          <w:sz w:val="24"/>
        </w:rPr>
        <w:t xml:space="preserve">. </w:t>
      </w:r>
    </w:p>
    <w:p>
      <w:pPr>
        <w:pStyle w:val="TextBody"/>
        <w:bidi w:val="0"/>
        <w:spacing w:lineRule="auto" w:line="288" w:before="0" w:after="200"/>
        <w:jc w:val="left"/>
        <w:rPr/>
      </w:pPr>
      <w:r>
        <w:rPr>
          <w:rFonts w:ascii="Times New Roman;serif" w:hAnsi="Times New Roman;serif"/>
          <w:b w:val="false"/>
          <w:color w:val="000000"/>
          <w:sz w:val="20"/>
        </w:rPr>
        <w:t>Section 2.02.</w:t>
      </w:r>
      <w:r>
        <w:rPr>
          <w:rFonts w:ascii="Times New Roman;serif" w:hAnsi="Times New Roman;serif"/>
          <w:b w:val="false"/>
          <w:color w:val="000000"/>
          <w:sz w:val="24"/>
        </w:rPr>
        <w:t xml:space="preserve">The 2029 Notes may be issued from time to time upon receipt by the Trustee of an Authentication Order pursuant to Section 3.03 of the Base Indenture. The initial issue date shall be September 29, 2026. There is hereby authorized a series of Securities designated as the 5.250% Senior Notes due 2029 limited in aggregate principal amount to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4"/>
        </w:rPr>
      </w:pPr>
      <w:r>
        <w:rPr>
          <w:rFonts w:ascii="Times New Roman;serif" w:hAnsi="Times New Roman;serif"/>
          <w:b w:val="false"/>
          <w:color w:val="000000"/>
          <w:sz w:val="24"/>
        </w:rPr>
        <w:t>$500,000,000 (except for additional Notes of such series authenticated and delivered in accordance with Section 3.01 of the Base Indenture and upon registration of transfer of, or in exchange for, or in lieu of, other Notes pursuant to the Base Indenture).</w:t>
      </w:r>
    </w:p>
    <w:p>
      <w:pPr>
        <w:pStyle w:val="TextBody"/>
        <w:bidi w:val="0"/>
        <w:spacing w:lineRule="auto" w:line="288" w:before="0" w:after="200"/>
        <w:jc w:val="left"/>
        <w:rPr/>
      </w:pPr>
      <w:r>
        <w:rPr>
          <w:rFonts w:ascii="Times New Roman;serif" w:hAnsi="Times New Roman;serif"/>
          <w:b w:val="false"/>
          <w:color w:val="000000"/>
          <w:sz w:val="20"/>
        </w:rPr>
        <w:t>Section 2.03.</w:t>
      </w:r>
      <w:r>
        <w:rPr>
          <w:rFonts w:ascii="Times New Roman;serif" w:hAnsi="Times New Roman;serif"/>
          <w:b w:val="false"/>
          <w:color w:val="000000"/>
          <w:sz w:val="24"/>
        </w:rPr>
        <w:t>The 2032 Notes may be issued from time to time upon receipt by the Trustee of an Authentication Order pursuant to Section 3.03 of the Base Indenture. The initial issue date shall be September 29, 2026. There is hereby authorized a series of Securities designated as the 5.450% Senior Notes due 2032 limited in aggregate principal amount to $500,000,000 (except for additional Notes of such series authenticated and delivered in accordance with Section 3.01 of the Base Indenture and upon registration of transfer of, or in exchange for, or in lieu of, other Notes pursuant to the Base Indenture).</w:t>
      </w:r>
    </w:p>
    <w:p>
      <w:pPr>
        <w:pStyle w:val="TextBody"/>
        <w:bidi w:val="0"/>
        <w:spacing w:lineRule="auto" w:line="288" w:before="0" w:after="200"/>
        <w:jc w:val="left"/>
        <w:rPr/>
      </w:pPr>
      <w:r>
        <w:rPr>
          <w:rFonts w:ascii="Times New Roman;serif" w:hAnsi="Times New Roman;serif"/>
          <w:b w:val="false"/>
          <w:color w:val="000000"/>
          <w:sz w:val="20"/>
        </w:rPr>
        <w:t>Section 2.04.</w:t>
      </w:r>
      <w:r>
        <w:rPr>
          <w:rFonts w:ascii="Times New Roman;serif" w:hAnsi="Times New Roman;serif"/>
          <w:b w:val="false"/>
          <w:color w:val="000000"/>
          <w:sz w:val="24"/>
        </w:rPr>
        <w:t>The 2037 Notes may be issued from time to time upon receipt by the Trustee of an Authentication Order pursuant to Section 3.03 of the Base Indenture. The initial issue date shall be September 29, 2026. There is hereby authorized a series of Securities designated as the 5.850% Senior Notes due 2037 limited in aggregate principal amount to $500,000,000 (except for additional Notes of such series authenticated and delivered in accordance with Section 3.01 of the Base Indenture and upon registration of transfer of, or in exchange for, or in lieu of, other Notes pursuant to the Base Indenture).</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2.05.</w:t>
      </w:r>
      <w:r>
        <w:rPr>
          <w:rFonts w:ascii="Times New Roman;serif" w:hAnsi="Times New Roman;serif"/>
          <w:b w:val="false"/>
          <w:i/>
          <w:color w:val="000000"/>
          <w:sz w:val="24"/>
        </w:rPr>
        <w:t>Maturity</w:t>
      </w:r>
      <w:r>
        <w:rPr>
          <w:rFonts w:ascii="Times New Roman;serif" w:hAnsi="Times New Roman;serif"/>
          <w:b w:val="false"/>
          <w:color w:val="000000"/>
          <w:sz w:val="24"/>
        </w:rPr>
        <w:t>. The date upon which all outstanding principal of the 2029 Notes shall become due and payable, together with any accrued and unpaid interest thereon, is September 28, 2029. The date upon which all outstanding principal of the 2032 Notes shall become due and payable, together with any accrued and unpaid interest thereon, is January 15, 2032. The date upon which all outstanding principal of the 2037 Notes shall become due and payable, together with any accrued and unpaid interest thereon, is January 15, 2037.</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2.06.</w:t>
      </w:r>
      <w:r>
        <w:rPr>
          <w:rFonts w:ascii="Times New Roman;serif" w:hAnsi="Times New Roman;serif"/>
          <w:b w:val="false"/>
          <w:i/>
          <w:color w:val="000000"/>
          <w:sz w:val="24"/>
        </w:rPr>
        <w:t>Payment and Appointment</w:t>
      </w:r>
      <w:r>
        <w:rPr>
          <w:rFonts w:ascii="Times New Roman;serif" w:hAnsi="Times New Roman;serif"/>
          <w:b w:val="false"/>
          <w:color w:val="000000"/>
          <w:sz w:val="24"/>
        </w:rPr>
        <w:t xml:space="preserve">. Principal of, premium, if any, and interest on the Notes will be payable at the designated corporate trust office of the Paying Agent or, at the Company’s option, payment of interest may be made by check mailed to the holders of the Notes (each, a “Holder” and together, the “Holders”) at their respective addresses set forth in the register of Holders; provided that all payments of principal, premium, if any, and interest with respect to the Notes represented by one or more Global Notes deposited with, or on behalf of, </w:t>
      </w:r>
      <w:r>
        <w:rPr>
          <w:rFonts w:ascii="Times New Roman;serif" w:hAnsi="Times New Roman;serif"/>
          <w:b w:val="false"/>
          <w:color w:val="231F20"/>
          <w:sz w:val="24"/>
        </w:rPr>
        <w:t>a common depositary, and registered in the name of the nominee of the common depositary for the account of The Depository Trust Company, New York, New York (“DTC”) will be made through the facilities of the common depositary.</w:t>
      </w:r>
      <w:r>
        <w:rPr>
          <w:color w:val="000000"/>
        </w:rPr>
        <w:t xml:space="preserve"> </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Paying Agent, transfer agent and Security Registrar with respect to the Notes shall initially be the Trustee.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Notes shall be issuable in minimum denominations of $2,000 and integral multiples of $1,000 in excess thereof.</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2.07.</w:t>
      </w:r>
      <w:r>
        <w:rPr>
          <w:rFonts w:ascii="Times New Roman;serif" w:hAnsi="Times New Roman;serif"/>
          <w:b w:val="false"/>
          <w:i/>
          <w:color w:val="000000"/>
          <w:sz w:val="24"/>
        </w:rPr>
        <w:t>Global Note</w:t>
      </w:r>
      <w:r>
        <w:rPr>
          <w:rFonts w:ascii="Times New Roman;serif" w:hAnsi="Times New Roman;serif"/>
          <w:b w:val="false"/>
          <w:color w:val="000000"/>
          <w:sz w:val="24"/>
        </w:rPr>
        <w:t>. The Notes shall be issued initially in the form of one or more fully registered global notes (each, a “Global Note”) and such Global Notes shall be deposited with, or on behalf of DTC and registered in the name of Cede &amp; Co., the nominee of DTC. Unless and until such Global Note is exchanged for Notes in certificated form, such Global Note may be transferred, in whole but not in part, and any payments on the Notes shall be made, only to DTC or another nominee of DTC, or to a successor DTC selected or approved by the Company or to a nominee of such successor depositary.</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2.08.</w:t>
      </w:r>
      <w:r>
        <w:rPr>
          <w:rFonts w:ascii="Times New Roman;serif" w:hAnsi="Times New Roman;serif"/>
          <w:b w:val="false"/>
          <w:i/>
          <w:color w:val="000000"/>
          <w:sz w:val="24"/>
        </w:rPr>
        <w:t>Interest</w:t>
      </w:r>
      <w:r>
        <w:rPr>
          <w:rFonts w:ascii="Times New Roman;serif" w:hAnsi="Times New Roman;serif"/>
          <w:b w:val="false"/>
          <w:color w:val="000000"/>
          <w:sz w:val="24"/>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4"/>
        </w:rPr>
        <w:t>The 2029 Notes will bear interest at a rate of 5.250% per annum, the 2032 Notes will bear interest at a rate of 5.450% per annum and the 2037 Notes will bear interest at a rate of 5.850% per annum, each from September 29, 2026, or from the most recent date to which interest has been paid or provided for, payable semi-annually in arrears on March 28 and September 28 of each year, in the case of the 2029 Notes, and on January 15 and July 15 of each year, in the case of the 2032 Notes and the 2037 Notes (each, an “Interest Payment Date”), commencing on March 28, 2027 in the case of the 2029 Notes and January 15, 2027 in the case of the 2032 Notes and the 2037 Notes, to Holders of record at the close of business on the 15th calendar day (whether or not a Business Day) immediately preceding the Interest Payment Date; provided, however, that interest payable on the applicable Maturity Date of the Notes or any Redemption Date of the Notes shall be payable to the person to whom the principal of such Notes shall be payable.</w:t>
      </w:r>
    </w:p>
    <w:p>
      <w:pPr>
        <w:pStyle w:val="TextBody"/>
        <w:bidi w:val="0"/>
        <w:spacing w:lineRule="auto" w:line="240" w:before="0" w:after="200"/>
        <w:ind w:left="0" w:right="0" w:firstLine="360"/>
        <w:jc w:val="left"/>
        <w:rPr/>
      </w:pPr>
      <w:r>
        <w:rPr>
          <w:rFonts w:ascii="Times New Roman;serif" w:hAnsi="Times New Roman;serif"/>
          <w:b w:val="false"/>
          <w:color w:val="000000"/>
          <w:sz w:val="20"/>
        </w:rPr>
        <w:t>(a)</w:t>
      </w:r>
      <w:r>
        <w:rPr>
          <w:rFonts w:ascii="Times New Roman;serif" w:hAnsi="Times New Roman;serif"/>
          <w:b w:val="false"/>
          <w:color w:val="000000"/>
          <w:sz w:val="24"/>
        </w:rPr>
        <w:t xml:space="preserve">Interest payable on the Notes on any Interest Payment Date, Redemption Date or Maturity Date shall be computed on the basis of a 360-day year of twelve 30-day months.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2.09.</w:t>
      </w:r>
      <w:r>
        <w:rPr>
          <w:rFonts w:ascii="Times New Roman;serif" w:hAnsi="Times New Roman;serif"/>
          <w:b w:val="false"/>
          <w:i/>
          <w:color w:val="000000"/>
          <w:sz w:val="24"/>
        </w:rPr>
        <w:t>No Sinking Fund</w:t>
      </w:r>
      <w:r>
        <w:rPr>
          <w:rFonts w:ascii="Times New Roman;serif" w:hAnsi="Times New Roman;serif"/>
          <w:b w:val="false"/>
          <w:color w:val="000000"/>
          <w:sz w:val="24"/>
        </w:rPr>
        <w:t>. The Notes are not entitled to the benefit of any sinking fund.</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2.10.</w:t>
      </w:r>
      <w:r>
        <w:rPr>
          <w:rFonts w:ascii="Times New Roman;serif" w:hAnsi="Times New Roman;serif"/>
          <w:b w:val="false"/>
          <w:i/>
          <w:color w:val="000000"/>
          <w:sz w:val="24"/>
        </w:rPr>
        <w:t>No Guarantee</w:t>
      </w:r>
      <w:r>
        <w:rPr>
          <w:rFonts w:ascii="Times New Roman;serif" w:hAnsi="Times New Roman;serif"/>
          <w:b w:val="false"/>
          <w:color w:val="000000"/>
          <w:sz w:val="24"/>
        </w:rPr>
        <w:t>. The Notes will not be guaranteed by any Person or Persons.</w:t>
      </w:r>
    </w:p>
    <w:p>
      <w:pPr>
        <w:pStyle w:val="TextBody"/>
        <w:bidi w:val="0"/>
        <w:spacing w:lineRule="auto" w:line="319" w:before="0" w:after="200"/>
        <w:jc w:val="center"/>
        <w:rPr/>
      </w:pPr>
      <w:r>
        <w:rPr>
          <w:rFonts w:ascii="Times New Roman;serif" w:hAnsi="Times New Roman;serif"/>
          <w:b/>
          <w:color w:val="000000"/>
          <w:sz w:val="20"/>
        </w:rPr>
        <w:t>Article 3</w:t>
      </w:r>
      <w:r>
        <w:rPr>
          <w:rFonts w:ascii="Times New Roman;serif" w:hAnsi="Times New Roman;serif"/>
          <w:b/>
          <w:color w:val="000000"/>
          <w:sz w:val="24"/>
        </w:rPr>
        <w:br/>
        <w:t>REDEMPTION OF THE NOTES</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3.01.</w:t>
      </w:r>
      <w:r>
        <w:rPr>
          <w:rFonts w:ascii="Times New Roman;serif" w:hAnsi="Times New Roman;serif"/>
          <w:b w:val="false"/>
          <w:i/>
          <w:color w:val="000000"/>
          <w:sz w:val="20"/>
        </w:rPr>
        <w:t>Special Mandatory Redemption</w:t>
      </w:r>
      <w:r>
        <w:rPr>
          <w:rFonts w:ascii="Times New Roman;serif" w:hAnsi="Times New Roman;serif"/>
          <w:b w:val="false"/>
          <w:color w:val="000000"/>
          <w:sz w:val="20"/>
        </w:rPr>
        <w:t>. (a)</w:t>
      </w:r>
      <w:r>
        <w:rPr>
          <w:color w:val="000000"/>
        </w:rPr>
        <w:t xml:space="preserve"> </w:t>
      </w:r>
      <w:r>
        <w:rPr>
          <w:rFonts w:ascii="Times New Roman;serif" w:hAnsi="Times New Roman;serif"/>
          <w:b w:val="false"/>
          <w:color w:val="000000"/>
          <w:sz w:val="24"/>
        </w:rPr>
        <w:t>If (i) the Company does not consummate the Acquisition on or prior to the later of (x) August 10, 2027 and (y) such later date to which the termination date under the EPA as in effect on the closing date of this offering may be amended in accordance with the terms thereof (such later date, the “Special Mandatory Redemption End Date”), (ii) on or prior to the Special Mandatory Redemption End Date, the EPA is terminated or (iii) the Company otherwise notifies the Trustee in writing that it will not pursue the consummation of the Acquisition (any such event being a “Special Mandatory Redemption Event”), then the Company will be required to redeem (a “Special Mandatory Redemption”) all of the Notes of each series at a redemption price (the “Special Mandatory Redemption Price”) equal to 101% of the aggregate principal amount of such Notes, plus accrued and unpaid interest thereon, if any, to, but excluding, the Special Mandatory Redemption Date.</w:t>
      </w:r>
    </w:p>
    <w:p>
      <w:pPr>
        <w:pStyle w:val="TextBody"/>
        <w:bidi w:val="0"/>
        <w:spacing w:lineRule="auto" w:line="240" w:before="0" w:after="200"/>
        <w:ind w:left="0" w:right="0" w:firstLine="360"/>
        <w:jc w:val="left"/>
        <w:rPr/>
      </w:pPr>
      <w:r>
        <w:rPr>
          <w:rFonts w:ascii="Times New Roman;serif" w:hAnsi="Times New Roman;serif"/>
          <w:b w:val="false"/>
          <w:color w:val="000000"/>
          <w:sz w:val="20"/>
        </w:rPr>
        <w:t>(a)</w:t>
      </w:r>
      <w:r>
        <w:rPr>
          <w:rFonts w:ascii="Times New Roman;serif" w:hAnsi="Times New Roman;serif"/>
          <w:b w:val="false"/>
          <w:color w:val="000000"/>
          <w:sz w:val="24"/>
        </w:rPr>
        <w:t xml:space="preserve">The Company will deliver or cause to be delivered to the registered holders of the Notes (with a copy to the Trustee) a written notice of the Special Mandatory Redemption (a “Special Mandatory Redemption Notice”) within ten Business Days following the occurrence of a Special Mandatory Redemption Event. The Company may, by five (5) Business Days’ (or such shorter period as the Trustee may in its sole discretion agree) advance written notice to the Trustee (accompanied by an Officer’s Certificate to the Trustee’s satisfaction and a copy of the applicable Special Mandatory Redemption Notice (prepared by the Company at its cost and expense)), request that the Trustee provide such Special Mandatory Redemption Notice to each Holder of the Notes (in accordance with the procedures of DTC). The Special Mandatory Redemption Notice will set forth the date upon which the Notes will be redeemed (the “Special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200"/>
        <w:jc w:val="left"/>
        <w:rPr>
          <w:rFonts w:ascii="Times New Roman;serif" w:hAnsi="Times New Roman;serif"/>
          <w:b w:val="false"/>
          <w:color w:val="000000"/>
          <w:sz w:val="24"/>
        </w:rPr>
      </w:pPr>
      <w:r>
        <w:rPr>
          <w:rFonts w:ascii="Times New Roman;serif" w:hAnsi="Times New Roman;serif"/>
          <w:b w:val="false"/>
          <w:color w:val="000000"/>
          <w:sz w:val="24"/>
        </w:rPr>
        <w:t>Mandatory Redemption Date,” which date shall be no earlier than the third Business Day and no later than 30 days following the date of such notice).</w:t>
      </w:r>
    </w:p>
    <w:p>
      <w:pPr>
        <w:pStyle w:val="TextBody"/>
        <w:bidi w:val="0"/>
        <w:spacing w:lineRule="auto" w:line="240" w:before="0" w:after="200"/>
        <w:ind w:left="0" w:right="0" w:firstLine="360"/>
        <w:jc w:val="left"/>
        <w:rPr/>
      </w:pPr>
      <w:r>
        <w:rPr>
          <w:rFonts w:ascii="Times New Roman;serif" w:hAnsi="Times New Roman;serif"/>
          <w:b w:val="false"/>
          <w:color w:val="000000"/>
          <w:sz w:val="20"/>
        </w:rPr>
        <w:t>(b)</w:t>
      </w:r>
      <w:r>
        <w:rPr>
          <w:rFonts w:ascii="Times New Roman;serif" w:hAnsi="Times New Roman;serif"/>
          <w:b w:val="false"/>
          <w:color w:val="000000"/>
          <w:sz w:val="24"/>
        </w:rPr>
        <w:t>No later than 10:00 a.m., New York City time, on the Special Mandatory Redemption Date, the Company will deposit with the Trustee any amounts necessary to fund the redemption of the Notes at the applicable Special Mandatory Redemption Price. The Trustee shall use such amounts on deposit to pay the applicable Special Mandatory Redemption Price on the Special Mandatory Redemption Date, in accordance with the applicable procedures of DTC.</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3.02.</w:t>
      </w:r>
      <w:r>
        <w:rPr>
          <w:rFonts w:ascii="Times New Roman;serif" w:hAnsi="Times New Roman;serif"/>
          <w:b w:val="false"/>
          <w:i/>
          <w:color w:val="000000"/>
          <w:sz w:val="24"/>
        </w:rPr>
        <w:t>Optional Redemption by Company</w:t>
      </w:r>
      <w:r>
        <w:rPr>
          <w:rFonts w:ascii="Times New Roman;serif" w:hAnsi="Times New Roman;serif"/>
          <w:b w:val="false"/>
          <w:color w:val="000000"/>
          <w:sz w:val="24"/>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4"/>
        </w:rPr>
        <w:t>Prior to the applicable Par Call Date, the Company may redeem the Notes of any series at its option, in whole or in part, at any time and from time to time, at a redemption price (expressed as a percentage of principal amount and rounded to three decimal places) equal to the greater of:</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(1) (a) the sum of the present values of the remaining scheduled payments of principal and interest on the Notes of such series discounted to the relevant Redemption Date (assuming such Notes matured on the applicable Par Call Date) on a semi-annual basis (assuming a 360-day year consisting of twelve 30-day months) at the Treasury Rate plus 10 basis points for the 2029 Notes, 10 basis points for the 2032 Notes and 15 basis points for the 2037 Notes less (b) interest accrued and unpaid to the relevant Redemption Date, and</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(2) 100% of the principal amount of the Notes to be redeemed,</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plus, in either case, accrued and unpaid interest thereon to, but not including, the Redemption Date.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On or after the applicable Par Call Date for a series of Notes, the Company may redeem the Notes of such series, in whole or in part, at any time and from time to time, at a redemption price equal to 100% of the principal amount of such Notes being redeemed plus accrued and unpaid interest thereon to the relevant Redemption Date.</w:t>
      </w:r>
    </w:p>
    <w:p>
      <w:pPr>
        <w:pStyle w:val="TextBody"/>
        <w:bidi w:val="0"/>
        <w:spacing w:lineRule="auto" w:line="240" w:before="0" w:after="200"/>
        <w:ind w:left="0" w:right="0" w:firstLine="360"/>
        <w:jc w:val="left"/>
        <w:rPr/>
      </w:pPr>
      <w:r>
        <w:rPr>
          <w:rFonts w:ascii="Times New Roman;serif" w:hAnsi="Times New Roman;serif"/>
          <w:b w:val="false"/>
          <w:color w:val="000000"/>
          <w:sz w:val="20"/>
        </w:rPr>
        <w:t>(a)</w:t>
      </w:r>
      <w:r>
        <w:rPr>
          <w:rFonts w:ascii="Times New Roman;serif" w:hAnsi="Times New Roman;serif"/>
          <w:b w:val="false"/>
          <w:color w:val="000000"/>
          <w:sz w:val="24"/>
        </w:rPr>
        <w:t xml:space="preserve">Unless the Company defaults in payment of the optional redemption price, on and after the Redemption Date, interest will cease to accrue on the applicable Notes or portions thereof called for redemption. On or before the Redemption Date, the Company shall deposit with the Paying Agent or set aside, segregate and hold in trust (if the Company is acting as Paying Agent), funds sufficient to pay the optional redemption price of, and accrued and unpaid interest on, such Notes to be redeemed on that Redemption Date.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Company’s actions and determinations in determining the relevant redemption price shall be conclusive and binding for all purposes of this Section 3.02, absent manifest error.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Notice of any redemption will be mailed or electronically delivered (or otherwise transmitted in accordance with the depositary’s procedures) at least 10 days but not more than 60 days before the relevant Redemption Date to each Holder of Notes to be redeemed. </w:t>
      </w:r>
    </w:p>
    <w:p>
      <w:pPr>
        <w:pStyle w:val="TextBody"/>
        <w:bidi w:val="0"/>
        <w:spacing w:before="0" w:after="0"/>
        <w:jc w:val="left"/>
        <w:rPr/>
      </w:pPr>
      <w:r>
        <w:rPr/>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3.03.</w:t>
      </w:r>
      <w:r>
        <w:rPr>
          <w:rFonts w:ascii="Times New Roman;serif" w:hAnsi="Times New Roman;serif"/>
          <w:b w:val="false"/>
          <w:i/>
          <w:color w:val="000000"/>
          <w:sz w:val="24"/>
        </w:rPr>
        <w:t>Selection of Securities to be Redeemed.</w:t>
      </w:r>
      <w:r>
        <w:rPr>
          <w:color w:val="000000"/>
        </w:rPr>
        <w:t xml:space="preserve"> </w:t>
      </w:r>
      <w:r>
        <w:rPr>
          <w:rFonts w:ascii="Times New Roman;serif" w:hAnsi="Times New Roman;serif"/>
          <w:b w:val="false"/>
          <w:color w:val="000000"/>
          <w:sz w:val="24"/>
        </w:rPr>
        <w:t xml:space="preserve">In the case of a partial redemption, selection of the Notes for redemption will be made pro rata, by lot or by such other method as the Trustee deems appropriate and fair, subject, in the case of Global Notes, to the applicable procedures of DTC (or any successor depositary). No Notes of a principal amount of $2,000 or less will be redeemed in part. If any Note is to be redeemed in part only, the notice of redemption that relates to the Note will state the portion of the principal amount of the Note to be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200"/>
        <w:jc w:val="left"/>
        <w:rPr>
          <w:rFonts w:ascii="Times New Roman;serif" w:hAnsi="Times New Roman;serif"/>
          <w:b w:val="false"/>
          <w:color w:val="000000"/>
          <w:sz w:val="24"/>
        </w:rPr>
      </w:pPr>
      <w:r>
        <w:rPr>
          <w:rFonts w:ascii="Times New Roman;serif" w:hAnsi="Times New Roman;serif"/>
          <w:b w:val="false"/>
          <w:color w:val="000000"/>
          <w:sz w:val="24"/>
        </w:rPr>
        <w:t>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such depositary.</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3.04.</w:t>
      </w:r>
      <w:r>
        <w:rPr>
          <w:rFonts w:ascii="Times New Roman;serif" w:hAnsi="Times New Roman;serif"/>
          <w:b w:val="false"/>
          <w:i/>
          <w:color w:val="000000"/>
          <w:sz w:val="24"/>
        </w:rPr>
        <w:t>Notice of Redemption.</w:t>
      </w:r>
      <w:r>
        <w:rPr>
          <w:color w:val="000000"/>
        </w:rPr>
        <w:t xml:space="preserve"> </w:t>
      </w:r>
      <w:r>
        <w:rPr>
          <w:rFonts w:ascii="Times New Roman;serif" w:hAnsi="Times New Roman;serif"/>
          <w:b w:val="false"/>
          <w:color w:val="000000"/>
          <w:sz w:val="24"/>
        </w:rPr>
        <w:t>Notice of any redemption of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Company or another entity). If such redemption is subject to satisfaction of one or more conditions precedent, such notice shall describe each such condition, and such notice may be rescinded in the event that any or all such conditions shall not have been satisfied or otherwise waived on or prior to the fifth business day immediately preceding the relevant Redemption Date.</w:t>
      </w:r>
    </w:p>
    <w:p>
      <w:pPr>
        <w:pStyle w:val="TextBody"/>
        <w:bidi w:val="0"/>
        <w:spacing w:before="0" w:after="0"/>
        <w:jc w:val="left"/>
        <w:rPr/>
      </w:pPr>
      <w:r>
        <w:rPr/>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3.05.</w:t>
      </w:r>
      <w:r>
        <w:rPr>
          <w:rFonts w:ascii="Times New Roman;serif" w:hAnsi="Times New Roman;serif"/>
          <w:b w:val="false"/>
          <w:i/>
          <w:color w:val="000000"/>
          <w:sz w:val="24"/>
        </w:rPr>
        <w:t>Rescission of Redemption.</w:t>
      </w:r>
      <w:r>
        <w:rPr>
          <w:color w:val="000000"/>
        </w:rPr>
        <w:t xml:space="preserve"> </w:t>
      </w:r>
      <w:r>
        <w:rPr>
          <w:rFonts w:ascii="Times New Roman;serif" w:hAnsi="Times New Roman;serif"/>
          <w:b w:val="false"/>
          <w:color w:val="000000"/>
          <w:sz w:val="24"/>
        </w:rPr>
        <w:t>The Company shall notify Holders (with a copy to the Trustee) of any such rescission as soon as practicable, and in no case less than five (5) business days immediately preceding the relevant Redemption Date, after the Company determines that such conditions precedent will not be able to be satisfied or the Company is not able or willing to waive such conditions precedent, in each case subject to policies and procedures of DTC (or any successor depositary). In any event, the Company shall provide written notice to Holders and the Trustee prior to the close of business on the fifth business day prior to the relevant Redemption Date if any such redemption has been rescinded or delayed. The Company may by five (5) business days (or such shorter period to which the Trustee may in its sole discretion agree) advance written notice to the Trustee (accompanied by an Officer’s Certificate to the Trustee’s satisfaction, and a copy of the written notice (prepared by the Company at its cost and expense) that such redemption has been rescinded or delayed) request that the Trustee provide such notice to each Holder of the Notes in the same manner in which the notice of redemption was given. Once notice of redemption is mailed or sent, subject to the satisfaction of any condition precedent provided in the notice of redemption, the Notes called for redemption will become due and payable on the Redemption Date and at the applicable redemption price as set forth in Section 3.02.</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3.06.</w:t>
      </w:r>
      <w:r>
        <w:rPr>
          <w:rFonts w:ascii="Times New Roman;serif" w:hAnsi="Times New Roman;serif"/>
          <w:b w:val="false"/>
          <w:i/>
          <w:color w:val="000000"/>
          <w:sz w:val="24"/>
        </w:rPr>
        <w:t>No Other Redemption</w:t>
      </w:r>
      <w:r>
        <w:rPr>
          <w:rFonts w:ascii="Times New Roman;serif" w:hAnsi="Times New Roman;serif"/>
          <w:b w:val="false"/>
          <w:color w:val="000000"/>
          <w:sz w:val="24"/>
        </w:rPr>
        <w:t>. Except as set forth in Section 3.01, Section 3.02 and Section 3.03, the Notes shall not be redeemable by the Company prior to the applicable Maturity Date. The provisions of this Article 3 shall supersede any conflicting provisions contained in Article 11 of the Base Indenture.</w:t>
      </w:r>
    </w:p>
    <w:p>
      <w:pPr>
        <w:pStyle w:val="TextBody"/>
        <w:bidi w:val="0"/>
        <w:spacing w:lineRule="auto" w:line="319" w:before="0" w:after="200"/>
        <w:jc w:val="center"/>
        <w:rPr/>
      </w:pPr>
      <w:r>
        <w:rPr>
          <w:rFonts w:ascii="Times New Roman;serif" w:hAnsi="Times New Roman;serif"/>
          <w:b/>
          <w:color w:val="000000"/>
          <w:sz w:val="20"/>
        </w:rPr>
        <w:t>Article 4</w:t>
      </w:r>
      <w:r>
        <w:rPr>
          <w:rFonts w:ascii="Times New Roman;serif" w:hAnsi="Times New Roman;serif"/>
          <w:b/>
          <w:color w:val="000000"/>
          <w:sz w:val="24"/>
        </w:rPr>
        <w:br/>
        <w:t>CHANGE OF CONTROL TRIGGERING EVENT</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4.01.</w:t>
      </w:r>
      <w:r>
        <w:rPr>
          <w:rFonts w:ascii="Times New Roman;serif" w:hAnsi="Times New Roman;serif"/>
          <w:b w:val="false"/>
          <w:i/>
          <w:color w:val="000000"/>
          <w:sz w:val="24"/>
        </w:rPr>
        <w:t>Change of Control Triggering Event</w:t>
      </w:r>
      <w:r>
        <w:rPr>
          <w:rFonts w:ascii="Times New Roman;serif" w:hAnsi="Times New Roman;serif"/>
          <w:b w:val="false"/>
          <w:color w:val="000000"/>
          <w:sz w:val="24"/>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4"/>
        </w:rPr>
        <w:t>If a Change of Control Triggering Event occurs with respect to a series of Notes, unless the Company has exercised its right to redeem the Notes of such series, the Company shall make an offer (the “Change of Control Offer”) to repurchase all or, at the Holder’s option, any part (equal to $2,000 or any multiple of $1,000 in excess thereof) of each Holder’s Notes of such series at 101% of the aggregate principal amount thereof plus accrued and unpaid interest, if any, to, but not including, the date of purchase (the “Change of Control Purchase Price”) in accordance with the procedures set forth in this Section 4.01.</w:t>
      </w:r>
    </w:p>
    <w:p>
      <w:pPr>
        <w:pStyle w:val="TextBody"/>
        <w:bidi w:val="0"/>
        <w:spacing w:lineRule="auto" w:line="240" w:before="0" w:after="200"/>
        <w:ind w:left="0" w:right="0" w:firstLine="360"/>
        <w:jc w:val="left"/>
        <w:rPr/>
      </w:pPr>
      <w:r>
        <w:rPr>
          <w:rFonts w:ascii="Times New Roman;serif" w:hAnsi="Times New Roman;serif"/>
          <w:b w:val="false"/>
          <w:color w:val="000000"/>
          <w:sz w:val="20"/>
        </w:rPr>
        <w:t>(a)</w:t>
      </w:r>
      <w:r>
        <w:rPr>
          <w:rFonts w:ascii="Times New Roman;serif" w:hAnsi="Times New Roman;serif"/>
          <w:b w:val="false"/>
          <w:color w:val="000000"/>
          <w:sz w:val="24"/>
        </w:rPr>
        <w:t xml:space="preserve">Within 30 days following any Change of Control Triggering Event or, at the Company’s option, prior to any Change of Control, but after public announcement of the transaction that constitutes or may constitute the Change of Control, the Company shall make the Change of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200"/>
        <w:jc w:val="left"/>
        <w:rPr>
          <w:rFonts w:ascii="Times New Roman;serif" w:hAnsi="Times New Roman;serif"/>
          <w:b w:val="false"/>
          <w:color w:val="000000"/>
          <w:sz w:val="24"/>
        </w:rPr>
      </w:pPr>
      <w:r>
        <w:rPr>
          <w:rFonts w:ascii="Times New Roman;serif" w:hAnsi="Times New Roman;serif"/>
          <w:b w:val="false"/>
          <w:color w:val="000000"/>
          <w:sz w:val="24"/>
        </w:rPr>
        <w:t>Control Offer by mailing, or causing to be mailed, a notice to all Holders of Notes of such series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pStyle w:val="TextBody"/>
        <w:bidi w:val="0"/>
        <w:spacing w:lineRule="auto" w:line="240" w:before="0" w:after="200"/>
        <w:ind w:left="0" w:right="0" w:firstLine="360"/>
        <w:jc w:val="left"/>
        <w:rPr/>
      </w:pPr>
      <w:r>
        <w:rPr>
          <w:rFonts w:ascii="Times New Roman;serif" w:hAnsi="Times New Roman;serif"/>
          <w:b w:val="false"/>
          <w:color w:val="000000"/>
          <w:sz w:val="20"/>
        </w:rPr>
        <w:t>(b)</w:t>
      </w:r>
      <w:r>
        <w:rPr>
          <w:rFonts w:ascii="Times New Roman;serif" w:hAnsi="Times New Roman;serif"/>
          <w:b w:val="false"/>
          <w:color w:val="000000"/>
          <w:sz w:val="24"/>
        </w:rPr>
        <w:t>On the payment date of the Change of Control Purchase Price as specified in the notice, the Company shall, to the extent lawful:</w:t>
      </w:r>
    </w:p>
    <w:p>
      <w:pPr>
        <w:pStyle w:val="TextBody"/>
        <w:bidi w:val="0"/>
        <w:spacing w:lineRule="auto" w:line="240" w:before="0" w:after="200"/>
        <w:ind w:left="0" w:right="0" w:firstLine="360"/>
        <w:jc w:val="left"/>
        <w:rPr/>
      </w:pPr>
      <w:r>
        <w:rPr>
          <w:rFonts w:ascii="Times New Roman;serif" w:hAnsi="Times New Roman;serif"/>
          <w:b w:val="false"/>
          <w:color w:val="000000"/>
          <w:sz w:val="20"/>
        </w:rPr>
        <w:t>(i)</w:t>
      </w:r>
      <w:r>
        <w:rPr>
          <w:rFonts w:ascii="Times New Roman;serif" w:hAnsi="Times New Roman;serif"/>
          <w:b w:val="false"/>
          <w:color w:val="000000"/>
          <w:sz w:val="24"/>
        </w:rPr>
        <w:t>accept for payment all Notes or portions of Notes properly tendered and not withdrawn pursuant to the Change of Control Offer;</w:t>
      </w:r>
    </w:p>
    <w:p>
      <w:pPr>
        <w:pStyle w:val="TextBody"/>
        <w:bidi w:val="0"/>
        <w:spacing w:lineRule="auto" w:line="240" w:before="0" w:after="200"/>
        <w:ind w:left="0" w:right="0" w:firstLine="360"/>
        <w:jc w:val="left"/>
        <w:rPr/>
      </w:pPr>
      <w:r>
        <w:rPr>
          <w:rFonts w:ascii="Times New Roman;serif" w:hAnsi="Times New Roman;serif"/>
          <w:b w:val="false"/>
          <w:color w:val="000000"/>
          <w:sz w:val="20"/>
        </w:rPr>
        <w:t>(ii)</w:t>
      </w:r>
      <w:r>
        <w:rPr>
          <w:rFonts w:ascii="Times New Roman;serif" w:hAnsi="Times New Roman;serif"/>
          <w:b w:val="false"/>
          <w:color w:val="000000"/>
          <w:sz w:val="24"/>
        </w:rPr>
        <w:t>deposit with the Paying Agent an amount equal to the Change of Control Purchase Price in respect of all Notes or portions of Notes properly tendered and not withdrawn pursuant to the Change of Control Offer; and</w:t>
      </w:r>
    </w:p>
    <w:p>
      <w:pPr>
        <w:pStyle w:val="TextBody"/>
        <w:bidi w:val="0"/>
        <w:spacing w:lineRule="auto" w:line="240" w:before="0" w:after="200"/>
        <w:ind w:left="0" w:right="0" w:firstLine="360"/>
        <w:jc w:val="left"/>
        <w:rPr/>
      </w:pPr>
      <w:r>
        <w:rPr>
          <w:rFonts w:ascii="Times New Roman;serif" w:hAnsi="Times New Roman;serif"/>
          <w:b w:val="false"/>
          <w:color w:val="000000"/>
          <w:sz w:val="20"/>
        </w:rPr>
        <w:t>(iii)</w:t>
      </w:r>
      <w:r>
        <w:rPr>
          <w:rFonts w:ascii="Times New Roman;serif" w:hAnsi="Times New Roman;serif"/>
          <w:b w:val="false"/>
          <w:color w:val="000000"/>
          <w:sz w:val="24"/>
        </w:rPr>
        <w:t>deliver or cause to be delivered to the Trustee the Notes properly accepted together with an Officer’s Certificate stating the aggregate principal amount of Notes or portions of Notes being purchased by the Company.</w:t>
      </w:r>
    </w:p>
    <w:p>
      <w:pPr>
        <w:pStyle w:val="TextBody"/>
        <w:bidi w:val="0"/>
        <w:spacing w:lineRule="auto" w:line="240" w:before="0" w:after="200"/>
        <w:ind w:left="0" w:right="0" w:firstLine="360"/>
        <w:jc w:val="left"/>
        <w:rPr/>
      </w:pPr>
      <w:r>
        <w:rPr>
          <w:rFonts w:ascii="Times New Roman;serif" w:hAnsi="Times New Roman;serif"/>
          <w:b w:val="false"/>
          <w:color w:val="000000"/>
          <w:sz w:val="20"/>
        </w:rPr>
        <w:t>(c)</w:t>
      </w:r>
      <w:r>
        <w:rPr>
          <w:rFonts w:ascii="Times New Roman;serif" w:hAnsi="Times New Roman;serif"/>
          <w:b w:val="false"/>
          <w:color w:val="000000"/>
          <w:sz w:val="24"/>
        </w:rPr>
        <w:t>The Paying Agent shall promptly mail to each Holder who properly tendered Notes pursuant to the Change of Control Offer, the Change of Control Purchase Price for such Notes, and the Trustee shall promptly authenticate and mail (or cause to be transferred by book entry) to each such Holder a new Note equal in principal amount to any unpurchased portion of the Notes surrendered, if any; provided that each new Note will be in a principal amount of $2,000 or a multiple of $1,000 in excess thereof.</w:t>
      </w:r>
    </w:p>
    <w:p>
      <w:pPr>
        <w:pStyle w:val="TextBody"/>
        <w:bidi w:val="0"/>
        <w:spacing w:lineRule="auto" w:line="240" w:before="0" w:after="200"/>
        <w:ind w:left="0" w:right="0" w:firstLine="360"/>
        <w:jc w:val="left"/>
        <w:rPr/>
      </w:pPr>
      <w:r>
        <w:rPr>
          <w:rFonts w:ascii="Times New Roman;serif" w:hAnsi="Times New Roman;serif"/>
          <w:b w:val="false"/>
          <w:color w:val="000000"/>
          <w:sz w:val="20"/>
        </w:rPr>
        <w:t>(d)</w:t>
      </w:r>
      <w:r>
        <w:rPr>
          <w:rFonts w:ascii="Times New Roman;serif" w:hAnsi="Times New Roman;serif"/>
          <w:b w:val="false"/>
          <w:color w:val="000000"/>
          <w:sz w:val="24"/>
        </w:rPr>
        <w:t>The Company will not be required to make a Change of Control Offer upon a Change of Control Triggering Event if a third party makes such an offer in the manner, at the times and otherwise in compliance with the requirements for a Change of Control Offer made by the Company and such third party purchases all Notes properly tendered and not withdrawn under its offer. In the event that such third party terminates or defaults on its offer, the Company shall make a Change of Control Offer treating the date of such termination or default as though it were the date of such Change of Control Triggering Event.</w:t>
      </w:r>
    </w:p>
    <w:p>
      <w:pPr>
        <w:pStyle w:val="TextBody"/>
        <w:bidi w:val="0"/>
        <w:spacing w:lineRule="auto" w:line="240" w:before="0" w:after="200"/>
        <w:ind w:left="0" w:right="0" w:firstLine="360"/>
        <w:jc w:val="left"/>
        <w:rPr/>
      </w:pPr>
      <w:r>
        <w:rPr>
          <w:rFonts w:ascii="Times New Roman;serif" w:hAnsi="Times New Roman;serif"/>
          <w:b w:val="false"/>
          <w:color w:val="000000"/>
          <w:sz w:val="20"/>
        </w:rPr>
        <w:t>(e)</w:t>
      </w:r>
      <w:r>
        <w:rPr>
          <w:rFonts w:ascii="Times New Roman;serif" w:hAnsi="Times New Roman;serif"/>
          <w:b w:val="false"/>
          <w:color w:val="000000"/>
          <w:sz w:val="24"/>
        </w:rPr>
        <w:t>The Company will not repurchase any Notes if there has occurred and is continuing on the relevant payment date an Event of Default under the Indenture, other than a default in the payment of the Change of Control Purchase Price upon a Change of Control Triggering Event.</w:t>
      </w:r>
    </w:p>
    <w:p>
      <w:pPr>
        <w:pStyle w:val="TextBody"/>
        <w:bidi w:val="0"/>
        <w:spacing w:lineRule="auto" w:line="240" w:before="0" w:after="200"/>
        <w:ind w:left="0" w:right="0" w:firstLine="360"/>
        <w:jc w:val="left"/>
        <w:rPr/>
      </w:pPr>
      <w:r>
        <w:rPr>
          <w:rFonts w:ascii="Times New Roman;serif" w:hAnsi="Times New Roman;serif"/>
          <w:b w:val="false"/>
          <w:color w:val="000000"/>
          <w:sz w:val="20"/>
        </w:rPr>
        <w:t>(f)</w:t>
      </w:r>
      <w:r>
        <w:rPr>
          <w:rFonts w:ascii="Times New Roman;serif" w:hAnsi="Times New Roman;serif"/>
          <w:b w:val="false"/>
          <w:color w:val="000000"/>
          <w:sz w:val="24"/>
        </w:rPr>
        <w:t>The Company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 of any such securities laws or regulations conflicts with the offer provisions in respect of a Change of Control of the Notes, the Company will comply with those securities laws and regulations and will not be deemed to have breached its obligations under such offer provisions by virtue of any such conflict.</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19" w:before="0" w:after="200"/>
        <w:jc w:val="center"/>
        <w:rPr/>
      </w:pPr>
      <w:r>
        <w:rPr>
          <w:rFonts w:ascii="Times New Roman;serif" w:hAnsi="Times New Roman;serif"/>
          <w:b/>
          <w:color w:val="000000"/>
          <w:sz w:val="20"/>
        </w:rPr>
        <w:t>Article 5</w:t>
      </w:r>
      <w:r>
        <w:rPr>
          <w:rFonts w:ascii="Times New Roman;serif" w:hAnsi="Times New Roman;serif"/>
          <w:b/>
          <w:color w:val="000000"/>
          <w:sz w:val="24"/>
        </w:rPr>
        <w:br/>
        <w:t>[INTENTIONALLY OMITTED]</w:t>
      </w:r>
    </w:p>
    <w:p>
      <w:pPr>
        <w:pStyle w:val="TextBody"/>
        <w:bidi w:val="0"/>
        <w:spacing w:lineRule="auto" w:line="319" w:before="0" w:after="200"/>
        <w:jc w:val="center"/>
        <w:rPr/>
      </w:pPr>
      <w:r>
        <w:rPr>
          <w:rFonts w:ascii="Times New Roman;serif" w:hAnsi="Times New Roman;serif"/>
          <w:b/>
          <w:color w:val="000000"/>
          <w:sz w:val="20"/>
        </w:rPr>
        <w:t>Article 6</w:t>
      </w:r>
      <w:r>
        <w:rPr>
          <w:rFonts w:ascii="Times New Roman;serif" w:hAnsi="Times New Roman;serif"/>
          <w:b/>
          <w:color w:val="000000"/>
          <w:sz w:val="24"/>
        </w:rPr>
        <w:br/>
        <w:t>FORM OF NOTES</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6.01.</w:t>
      </w:r>
      <w:r>
        <w:rPr>
          <w:rFonts w:ascii="Times New Roman;serif" w:hAnsi="Times New Roman;serif"/>
          <w:b w:val="false"/>
          <w:i/>
          <w:color w:val="000000"/>
          <w:sz w:val="24"/>
        </w:rPr>
        <w:t>Form of Notes</w:t>
      </w:r>
      <w:r>
        <w:rPr>
          <w:rFonts w:ascii="Times New Roman;serif" w:hAnsi="Times New Roman;serif"/>
          <w:b w:val="false"/>
          <w:color w:val="000000"/>
          <w:sz w:val="24"/>
        </w:rPr>
        <w:t>. The 2029 Notes and the Trustee’s Certificate of Authentication to be endorsed thereon are to be substantially in the forms attached as Exhibit A hereto, with such changes therein as the officers of the Company executing the Notes (by manual or facsimile signature) may approve, such approval to be conclusively evidenced by their execution thereof. The 2032 Notes and the Trustee’s Certificate of Authentication to be endorsed thereon are to be substantially in the forms attached as Exhibit B hereto, with such changes therein as the officers of the Company executing the Notes (by manual or facsimile signature) may approve, such approval to be conclusively evidenced by their execution thereof. The 2037 Notes and the Trustee’s Certificate of Authentication to be endorsed thereon are to be substantially in the forms attached as Exhibit C hereto, with such changes therein as the officers of the Company executing the Notes (by manual or facsimile signature) may approve, such approval to be conclusively evidenced by their execution thereof.</w:t>
      </w:r>
    </w:p>
    <w:p>
      <w:pPr>
        <w:pStyle w:val="TextBody"/>
        <w:bidi w:val="0"/>
        <w:spacing w:lineRule="auto" w:line="319" w:before="0" w:after="200"/>
        <w:jc w:val="center"/>
        <w:rPr/>
      </w:pPr>
      <w:r>
        <w:rPr>
          <w:rFonts w:ascii="Times New Roman;serif" w:hAnsi="Times New Roman;serif"/>
          <w:b/>
          <w:color w:val="000000"/>
          <w:sz w:val="20"/>
        </w:rPr>
        <w:t>Article 7</w:t>
      </w:r>
      <w:r>
        <w:rPr>
          <w:rFonts w:ascii="Times New Roman;serif" w:hAnsi="Times New Roman;serif"/>
          <w:b/>
          <w:color w:val="000000"/>
          <w:sz w:val="24"/>
        </w:rPr>
        <w:br/>
        <w:t>ORIGINAL ISSUE OF NOTES</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7.01.</w:t>
      </w:r>
      <w:r>
        <w:rPr>
          <w:rFonts w:ascii="Times New Roman;serif" w:hAnsi="Times New Roman;serif"/>
          <w:b w:val="false"/>
          <w:i/>
          <w:color w:val="000000"/>
          <w:sz w:val="24"/>
        </w:rPr>
        <w:t>Original Issue of Notes</w:t>
      </w:r>
      <w:r>
        <w:rPr>
          <w:rFonts w:ascii="Times New Roman;serif" w:hAnsi="Times New Roman;serif"/>
          <w:b w:val="false"/>
          <w:color w:val="000000"/>
          <w:sz w:val="24"/>
        </w:rPr>
        <w:t>. 2029 Notes having an aggregate principal amount of $500,000,000, 2032 Notes having an aggregate principal amount of $500,000,000 and 2037 Notes having an aggregate principal amount of $500,000,000 (subject to provisions of the Base Indenture with respect to authentication and delivery of additional Notes in accordance with Section 3.01 of the Base Indenture and upon registration of transfer of, or in exchange for, or in lieu of, other Notes) may from time to time, upon execution of this Supplemental Indenture No. 6, be executed by the Company and delivered to the Trustee for authentication, and the Trustee shall thereupon authenticate and deliver said Notes to or upon the written order of the Company pursuant to Section 3.03 of the Base Indenture without any further action by the Company (other than as required by the Base Indenture).</w:t>
      </w:r>
    </w:p>
    <w:p>
      <w:pPr>
        <w:pStyle w:val="TextBody"/>
        <w:bidi w:val="0"/>
        <w:spacing w:lineRule="auto" w:line="319" w:before="0" w:after="200"/>
        <w:jc w:val="center"/>
        <w:rPr/>
      </w:pPr>
      <w:r>
        <w:rPr>
          <w:rFonts w:ascii="Times New Roman;serif" w:hAnsi="Times New Roman;serif"/>
          <w:b/>
          <w:color w:val="000000"/>
          <w:sz w:val="20"/>
        </w:rPr>
        <w:t>Article 8</w:t>
      </w:r>
      <w:r>
        <w:rPr>
          <w:rFonts w:ascii="Times New Roman;serif" w:hAnsi="Times New Roman;serif"/>
          <w:b/>
          <w:color w:val="000000"/>
          <w:sz w:val="24"/>
        </w:rPr>
        <w:br/>
        <w:t>MISCELLANEOUS</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8.01.</w:t>
      </w:r>
      <w:r>
        <w:rPr>
          <w:rFonts w:ascii="Times New Roman;serif" w:hAnsi="Times New Roman;serif"/>
          <w:b w:val="false"/>
          <w:i/>
          <w:color w:val="000000"/>
          <w:sz w:val="24"/>
        </w:rPr>
        <w:t>Ratification of Indenture</w:t>
      </w:r>
      <w:r>
        <w:rPr>
          <w:rFonts w:ascii="Times New Roman;serif" w:hAnsi="Times New Roman;serif"/>
          <w:b w:val="false"/>
          <w:color w:val="000000"/>
          <w:sz w:val="24"/>
        </w:rPr>
        <w:t>. The Base Indenture, as supplemented by this Supplemental Indenture No. 6, is in all respects ratified and confirmed, and this Supplemental Indenture No. 6 shall be deemed part of the Base Indenture in the manner and to the extent herein and therein provided. All provisions included in this Supplemental Indenture No. 6 supersede any conflicting provisions included in the Base Indenture unless not permitted by law.</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8.02.</w:t>
      </w:r>
      <w:r>
        <w:rPr>
          <w:rFonts w:ascii="Times New Roman;serif" w:hAnsi="Times New Roman;serif"/>
          <w:b w:val="false"/>
          <w:i/>
          <w:color w:val="000000"/>
          <w:sz w:val="24"/>
        </w:rPr>
        <w:t>Trustee Not Responsible for Recitals</w:t>
      </w:r>
      <w:r>
        <w:rPr>
          <w:rFonts w:ascii="Times New Roman;serif" w:hAnsi="Times New Roman;serif"/>
          <w:b w:val="false"/>
          <w:color w:val="000000"/>
          <w:sz w:val="24"/>
        </w:rPr>
        <w:t xml:space="preserve">. The recitals contained herein shall be taken as statements of the Company and the Trustee assumes no responsibility for their correctness. The Trustee makes no representations as to the validity or sufficiency of this Supplemental Indenture No. 6 or any of the terms or provisions hereof. The Trustee shall not be accountable for the use or application by the Company of the Notes or the proceeds thereof. The Trustee accepts the amendments of the Base Indenture effected by this Supplemental Indenture, but on the terms and conditions set forth in the Base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recitals or statements are made solely by the Company, or for or with respect to (i) the proper authorization hereof by the Company by action or otherwise, (ii) the due execution hereof by the Company or (iii) the consequences of any amendment herein provided for, and the Trustee makes no representation with respect to any such matters. </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8.03.</w:t>
      </w:r>
      <w:r>
        <w:rPr>
          <w:rFonts w:ascii="Times New Roman;serif" w:hAnsi="Times New Roman;serif"/>
          <w:b w:val="false"/>
          <w:i/>
          <w:color w:val="000000"/>
          <w:sz w:val="24"/>
        </w:rPr>
        <w:t>Governing Law</w:t>
      </w:r>
      <w:r>
        <w:rPr>
          <w:rFonts w:ascii="Times New Roman;serif" w:hAnsi="Times New Roman;serif"/>
          <w:b w:val="false"/>
          <w:color w:val="000000"/>
          <w:sz w:val="24"/>
        </w:rPr>
        <w:t>. THIS SUPPLEMENTAL INDENTURE NO. 6 AND EACH NOTE SHALL BE GOVERNED BY AND CONSTRUED IN ACCORDANCE WITH THE LAWS OF THE STATE OF NEW YORK.</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8.04.</w:t>
      </w:r>
      <w:r>
        <w:rPr>
          <w:rFonts w:ascii="Times New Roman;serif" w:hAnsi="Times New Roman;serif"/>
          <w:b w:val="false"/>
          <w:i/>
          <w:color w:val="000000"/>
          <w:sz w:val="24"/>
        </w:rPr>
        <w:t>Separability Clause</w:t>
      </w:r>
      <w:r>
        <w:rPr>
          <w:rFonts w:ascii="Times New Roman;serif" w:hAnsi="Times New Roman;serif"/>
          <w:b w:val="false"/>
          <w:color w:val="000000"/>
          <w:sz w:val="24"/>
        </w:rPr>
        <w:t>. In case any provision in this Supplemental Indenture No. 6 or in the Notes shall be invalid, illegal or unenforceable, the validity, legality and enforceability of the remaining provisions shall not in any way be affected or impaired thereby.</w:t>
      </w:r>
    </w:p>
    <w:p>
      <w:pPr>
        <w:pStyle w:val="TextBody"/>
        <w:bidi w:val="0"/>
        <w:spacing w:lineRule="auto" w:line="240" w:before="0" w:after="200"/>
        <w:ind w:left="0" w:right="0" w:firstLine="360"/>
        <w:jc w:val="left"/>
        <w:rPr/>
      </w:pPr>
      <w:r>
        <w:rPr>
          <w:rFonts w:ascii="Times New Roman;serif" w:hAnsi="Times New Roman;serif"/>
          <w:b w:val="false"/>
          <w:color w:val="000000"/>
          <w:sz w:val="24"/>
        </w:rPr>
        <w:t>Section 8.05.</w:t>
      </w:r>
      <w:r>
        <w:rPr>
          <w:rFonts w:ascii="Times New Roman;serif" w:hAnsi="Times New Roman;serif"/>
          <w:b w:val="false"/>
          <w:i/>
          <w:color w:val="000000"/>
          <w:sz w:val="24"/>
        </w:rPr>
        <w:t>Counterparts</w:t>
      </w:r>
      <w:r>
        <w:rPr>
          <w:rFonts w:ascii="Times New Roman;serif" w:hAnsi="Times New Roman;serif"/>
          <w:b w:val="false"/>
          <w:color w:val="000000"/>
          <w:sz w:val="24"/>
        </w:rPr>
        <w:t>. This Supplemental Indenture No. 6 may be executed in any number of counterparts each of which, when so executed, shall be deemed to be an original, but all of which shall together constitute but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Facsimile, documents executed, scanned and transmitted electronically and electronic signatures, including those created or transmitted through a software platform or application, shall be deemed original signatures for purposes of this Supplemental Indenture No. 6 and all other related documents and all matters and agreements related thereto, with such facsimile, scanned and electronic signatures having the same legal effect as original signatures. The parties agree that this Supplemental Indenture No. 6 or any other related document or any instrument, agreement or document necessary for the consummation of the transactions contemplated by this Supplemental Indenture No. 6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pStyle w:val="TextBody"/>
        <w:bidi w:val="0"/>
        <w:spacing w:lineRule="auto" w:line="288" w:before="0" w:after="20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No. 6 to be duly executed as of the day and year first written above.</w:t>
      </w:r>
    </w:p>
    <w:tbl>
      <w:tblPr>
        <w:tblW w:w="4397" w:type="dxa"/>
        <w:jc w:val="left"/>
        <w:tblInd w:w="0" w:type="dxa"/>
        <w:tblLayout w:type="fixed"/>
        <w:tblCellMar>
          <w:top w:w="28" w:type="dxa"/>
          <w:left w:w="28" w:type="dxa"/>
          <w:bottom w:w="28" w:type="dxa"/>
          <w:right w:w="28" w:type="dxa"/>
        </w:tblCellMar>
      </w:tblPr>
      <w:tblGrid>
        <w:gridCol w:w="272"/>
        <w:gridCol w:w="240"/>
        <w:gridCol w:w="240"/>
        <w:gridCol w:w="1062"/>
        <w:gridCol w:w="1062"/>
        <w:gridCol w:w="1521"/>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43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XYLEM INC.</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Christopher Peterson</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Christopher Peterson</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Chief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Tax Officer, and Treasurer</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66"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Supplemental Indenture]</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240"/>
        <w:jc w:val="left"/>
        <w:rPr/>
      </w:pPr>
      <w:r>
        <w:rPr/>
      </w:r>
    </w:p>
    <w:tbl>
      <w:tblPr>
        <w:tblW w:w="5726" w:type="dxa"/>
        <w:jc w:val="left"/>
        <w:tblInd w:w="0" w:type="dxa"/>
        <w:tblLayout w:type="fixed"/>
        <w:tblCellMar>
          <w:top w:w="28" w:type="dxa"/>
          <w:left w:w="28" w:type="dxa"/>
          <w:bottom w:w="28" w:type="dxa"/>
          <w:right w:w="28" w:type="dxa"/>
        </w:tblCellMar>
      </w:tblPr>
      <w:tblGrid>
        <w:gridCol w:w="991"/>
        <w:gridCol w:w="873"/>
        <w:gridCol w:w="873"/>
        <w:gridCol w:w="873"/>
        <w:gridCol w:w="873"/>
        <w:gridCol w:w="1243"/>
      </w:tblGrid>
      <w:tr>
        <w:trPr/>
        <w:tc>
          <w:tcPr>
            <w:tcW w:w="9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572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DEUTSCHE BANK TRUST COMPANY AMERICAS,</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as Trustee</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 Niesz</w:t>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Chris Niesz</w:t>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Carol Ng</w:t>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Carol Ng</w:t>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HEREINAFTER REFERRED TO AND IS REGISTERED IN THE NAME OF THE DEPOSITARY OR A NOMINEE OF THE DEPOSITARY. THIS NOTE IS EXCHANGEABLE FOR SECURITIES REGISTERED IN THE NAME OF A PERSON OTHER THAN THE DEPOSITARY OR A NOMINEE OF THE DEPOSITARY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UNLESS THIS CERTIFICATE IS PRESENTED BY AN AUTHORIZED REPRESENTATIVE OF THE DEPOSITORY TRUST COMPANY, NEW YORK, NEW YORK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XYLEM INC.</w:t>
        <w:br/>
        <w:br/>
        <w:t>5.250% Senior Notes due 2029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1    $500,000,000</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CUSIP: 98419M AQ3</w:t>
        <w:br/>
        <w:t>ISIN: US98419MAQ33</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XYLEM INC., a corporation organized and existing under the laws of Indiana (hereinafter called the “Company”, which term includes any successor corporation under the Indenture hereinafter referred to), for value received, hereby promises to pay to Cede &amp; Co. as nominee of the Depository Trust Company, the principal sum of $500,000,000, or such other amount as indicated on the Schedule of Increases or Decreases In Note attached hereto, on September 28, 2029 (such date is hereinafter referred to as the “Maturity Date”), and to pay interest at a rate of 5.250% per annum from September 29, 2026, or from the most recent date to which interest has been paid or provided for, payable semi-annually in arrears on March 28 and September 28 of each year (each, an “Interest Payment Date”), commencing on March 28, 2027 to Holders of record at the close of business on the 15th calendar day (whether or not a Business Day) immediately preceding the Interest Payment Date; provided, however, that interest payable on the Maturity Date of the Notes or any Redemption Date of the Notes shall be payable to the person to whom the principal of such Notes shall be payable.</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68"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Interest payable on the Notes on any Interest Payment Date, Redemption Date or Maturity Date shall be computed on the basis of a 360-day year of twelve 30-day months.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w: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Reference is hereby made to the further provisions of this Note set forth on the reverse hereof, which further provisions shall for all purposes have the same effect as if set forth at this place.</w: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Trustee referred to on the reverse hereof by manual signature, this Note shall not be entitled to any benefit under the Indenture or be valid or obligatory for any purpose.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69"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A-A-2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A-A-2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instrument to be duly executed.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w:t>
      </w:r>
    </w:p>
    <w:tbl>
      <w:tblPr>
        <w:tblW w:w="1772" w:type="dxa"/>
        <w:jc w:val="left"/>
        <w:tblInd w:w="0" w:type="dxa"/>
        <w:tblLayout w:type="fixed"/>
        <w:tblCellMar>
          <w:top w:w="28" w:type="dxa"/>
          <w:left w:w="28" w:type="dxa"/>
          <w:bottom w:w="28" w:type="dxa"/>
          <w:right w:w="28" w:type="dxa"/>
        </w:tblCellMar>
      </w:tblPr>
      <w:tblGrid>
        <w:gridCol w:w="272"/>
        <w:gridCol w:w="240"/>
        <w:gridCol w:w="240"/>
        <w:gridCol w:w="298"/>
        <w:gridCol w:w="298"/>
        <w:gridCol w:w="424"/>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7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XYLEM INC.</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ableContents"/>
              <w:bidi w:val="0"/>
              <w:spacing w:before="0" w:after="0"/>
              <w:jc w:val="left"/>
              <w:rPr/>
            </w:pPr>
            <w:r>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0"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TRUSTEE’S CERTIFICATE OF AUTHENTICATION</w:t>
      </w:r>
    </w:p>
    <w:p>
      <w:pPr>
        <w:pStyle w:val="TextBody"/>
        <w:bidi w:val="0"/>
        <w:spacing w:lineRule="auto" w:line="288" w:before="0" w:after="6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is one of the Securities of the series designated therein referred to in the within-mentioned Indenture.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Dated: </w:t>
      </w:r>
    </w:p>
    <w:tbl>
      <w:tblPr>
        <w:tblW w:w="5667" w:type="dxa"/>
        <w:jc w:val="left"/>
        <w:tblInd w:w="0" w:type="dxa"/>
        <w:tblLayout w:type="fixed"/>
        <w:tblCellMar>
          <w:top w:w="28" w:type="dxa"/>
          <w:left w:w="28" w:type="dxa"/>
          <w:bottom w:w="28" w:type="dxa"/>
          <w:right w:w="28" w:type="dxa"/>
        </w:tblCellMar>
      </w:tblPr>
      <w:tblGrid>
        <w:gridCol w:w="981"/>
        <w:gridCol w:w="864"/>
        <w:gridCol w:w="864"/>
        <w:gridCol w:w="864"/>
        <w:gridCol w:w="864"/>
        <w:gridCol w:w="1230"/>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566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DEUTSCHE BANK TRUST COMPANY AMERICAS</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as Trustee</w:t>
            </w:r>
          </w:p>
        </w:tc>
      </w:tr>
      <w:tr>
        <w:trPr/>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tc>
      </w:tr>
    </w:tbl>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REVERSE OF NOTE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Note is one of a duly authorized issue of securities of the Company (herein called the “Notes”), issued and to be issued in one or more series under an Indenture (the “Original Indenture”), dated as of March 11, 2016, between the Company and Deutsche Bank Trust Company Americas, as Trustee (herein called the “Trustee”, which term includes any successor trustee), as amended and supplemented by Supplemental Indenture No. 1, dated as of March 11, 2016, between the Company and the Trustee (“Supplemental Indenture No. 1”; the Original Indenture, as so amended and supplemented, the “Base Indenture”) and as further supplemented by Supplemental Indenture No. 6, dated as of September 29, 2026, between the Company and the Trustee (“Supplemental Indenture No. 6”; the Base Indenture as so further supplemented, the “Indenture”), to which Indenture reference is hereby made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initially limited in aggregate principal amount to $500,000,000.</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All terms used in this Note that are defined in the Indenture shall have the meaning assigned to them in the Indenture.</w:t>
      </w:r>
    </w:p>
    <w:p>
      <w:pPr>
        <w:pStyle w:val="TextBody"/>
        <w:bidi w:val="0"/>
        <w:spacing w:lineRule="auto" w:line="288" w:before="0" w:after="200"/>
        <w:ind w:left="0" w:right="0" w:firstLine="360"/>
        <w:jc w:val="left"/>
        <w:rPr/>
      </w:pPr>
      <w:r>
        <w:rPr>
          <w:rFonts w:ascii="Times New Roman;serif" w:hAnsi="Times New Roman;serif"/>
          <w:b w:val="false"/>
          <w:color w:val="000000"/>
          <w:sz w:val="24"/>
        </w:rPr>
        <w:t xml:space="preserve">Principal of, premium, if any, and interest on the Notes will be payable at the office of the Paying Agent or, at the Company’s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w:t>
      </w:r>
      <w:r>
        <w:rPr>
          <w:rFonts w:ascii="Times New Roman;serif" w:hAnsi="Times New Roman;serif"/>
          <w:b w:val="false"/>
          <w:color w:val="231F20"/>
          <w:sz w:val="24"/>
        </w:rPr>
        <w:t>a common depositary, and registered in the name of the nominee of the common depositary for the account of The Depository Trust Company, New York, New York (“DTC”) will be made through the facilities of the common depositary</w:t>
      </w:r>
      <w:r>
        <w:rPr>
          <w:rFonts w:ascii="Times New Roman;serif" w:hAnsi="Times New Roman;serif"/>
          <w:b w:val="false"/>
          <w:color w:val="000000"/>
          <w:sz w:val="24"/>
        </w:rPr>
        <w:t xml:space="preserve">. </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Paying Agent, transfer agent and Security Registrar with respect to the Notes shall initially be the Trustee.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Notes shall be issuable in minimum denominations of $2,000 and integral multiples of $1,000 in excess thereof.</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Notes of this series are not entitled to the benefit of any sinking fund.</w:t>
      </w:r>
    </w:p>
    <w:p>
      <w:pPr>
        <w:pStyle w:val="TextBody"/>
        <w:bidi w:val="0"/>
        <w:spacing w:lineRule="auto" w:line="288" w:before="120" w:after="283"/>
        <w:ind w:left="0" w:right="0" w:firstLine="49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If (i) the Company does not consummate the Acquisition on or prior to the later of (x) August 10, 2027 and (y) such later date to which the termination date under the EPA as in effect on the closing date of this offering may be amended in accordance with the terms thereof (such later date, the “Special Mandatory Redemption End Date”), (ii) on or prior to the Special Mandatory Redemption End Date, the EPA is terminated or (iii) the Company otherwise notifies the Trustee in writing that it will not pursue the consummation of the Acquisition (any such event being a “Special Mandatory Redemption Event”), then the Company will be required to redeem (a “Special Mandatory Redemption”) all of the Notes of each series at a redemption price (the “Special Mandatory Redemption Price”) equal to 101% of the aggregate principal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72"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such Notes, plus accrued and unpaid interest thereon, if any, to, but excluding, the Special Mandatory Redemption Date.</w:t>
      </w:r>
    </w:p>
    <w:p>
      <w:pPr>
        <w:pStyle w:val="TextBody"/>
        <w:bidi w:val="0"/>
        <w:spacing w:lineRule="auto" w:line="288" w:before="120" w:after="283"/>
        <w:ind w:left="0" w:right="0" w:firstLine="49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Prior to August 28, 2029, the Company may redeem the Notes at its option, in whole or in part, at any time and from time to time, at a redemption price (expressed as a percentage of principal amount and rounded to three decimal places) equal to the greater of:</w:t>
      </w:r>
    </w:p>
    <w:p>
      <w:pPr>
        <w:pStyle w:val="TextBody"/>
        <w:bidi w:val="0"/>
        <w:spacing w:lineRule="auto" w:line="288" w:before="120" w:after="10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 (a) the sum of the present values of the remaining scheduled payments of principal and interest on the Notes discounted to the Redemption Date (assuming the Notes matured on August 28, 2029) on a semi-annual basis (assuming a 360-day year consisting of twelve 30-day months) at the Treasury Rate plus 10 basis points less (b) interest accrued and unpaid to the Redemption Date, and</w: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 100% of the principal amount of the Notes to be redeemed,</w:t>
      </w:r>
    </w:p>
    <w:p>
      <w:pPr>
        <w:pStyle w:val="TextBody"/>
        <w:bidi w:val="0"/>
        <w:spacing w:lineRule="auto" w:line="288" w:before="24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plus, accrued and unpaid interest thereon to the Redemption Date.</w:t>
      </w:r>
    </w:p>
    <w:p>
      <w:pPr>
        <w:pStyle w:val="TextBody"/>
        <w:bidi w:val="0"/>
        <w:spacing w:lineRule="auto" w:line="288" w:before="240" w:after="240"/>
        <w:ind w:left="0" w:right="0" w:firstLine="49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On or after August 28, 2029, the Company may redeem the Notes, in whole or in part, at any time and from time to time, at a redemption price equal to 100% of the principal amount of the Notes being redeemed plus accrued and unpaid interest thereon to the Redemption Date.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a Change of Control Triggering Event occurs, unless the Company has exercised its right to redeem the Notes, the Company shall make an offer (the “Change of Control Offer”) to repurchase all or, at the Holder’s option, any part (equal to $2,000 or any multiple of $1,000 in excess thereof) of each Holder’s Notes at 101% of the aggregate principal amount thereof plus accrued and unpaid interest, if any, to, but not including, the date of purchase (the “Change of Control Purchase Price”) in accordance with the procedures set forth herein and in Supplemental Indenture No. 6.</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Within 30 days following any Change of Control Triggering Event or, at the Company’s option, prior to any Change of Control, but after public announcement of the transaction that constitutes or may constitute the Change of Control, the Company shall make the Change of Control Offer by mailing, or causing to be mailed, a notice to all Holders of Notes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On the payment date of the Change of Control Purchase Price as specified in the notice, the Company shall, to the extent lawful:</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 accept for payment all Notes or portions of Notes properly tendered and not withdrawn pursuant to the Change of Control Offer;</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73"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(ii) deposit with the Paying Agent an amount equal to the Change of Control Purchase Price in respect of all Notes or portions of Notes properly tendered and not withdrawn pursuant to the Change of Control Offer; and</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(iii) deliver or cause to be delivered to the Trustee the Notes properly accepted together with an Officer’s Certificate stating the aggregate principal amount of Notes or portions of Notes being purchased by the Company.</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Paying Agent shall promptly mail to each Holder who properly tendered Notes pursuant to the Change of Control Offer, the Change of Control Purchase Price for such Notes, and the Trustee shall promptly authenticate and mail (or cause to be transferred by book entry) to each such Holder a new Note equal in principal amount to any unpurchased portion of the Notes surrendered, if any; provided that each new Note will be in a principal amount of $2,000 or a multiple of $1,000 in excess thereof.</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Company will not be required to make a Change of Control Offer upon a Change of Control Triggering Event if a third party makes such an offer in the manner, at the times and otherwise in compliance with the requirements for a Change of Control Offer made by the Company and such third party purchases all Notes properly tendered and not withdrawn under its offer. In the event that such third party terminates or defaults on its offer, the Company shall make a Change of Control Offer treating the date of such termination or default as though it were the date of such Change of Control Triggering Event.</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Company will not repurchase any Notes if there has occurred and is continuing on the relevant payment date an Event of Default under the Indenture, other than a default in the payment of the Change of Control Purchase Price upon a Change of Control Triggering Event.</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Indenture contains provisions for defeasance of the obligations of the Company at any time upon compliance by the Company with certain conditions set forth therein, which provisions apply to the Notes of this series.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an Event of Default with respect to Notes of this series shall occur and be continuing, the principal of the Notes of this series may be declared due and payable in the manner and with the effect provided in the Indenture.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Indenture permits, with certain exceptions as therein provided, the amendment thereof and the modification of the rights and obligations of the Company and the rights of the Holders of the Notes at any time by the Company and the Trustee with the consent of the Holders of a majority in principal amount of the Notes of each series affected thereby and at the time Outstanding. The Indenture also contains provisions permitting the Holders of specified percentages in principal amount of the Notes of a series at the time Outstanding, on behalf of the Holders of all Notes of such series, to waive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74"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of this series, of authorized denominations and for the same aggregate principal amount, will be issued to the designated transferee or transferees.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No service charge shall be made for any such registration of transfer or exchange, but the Company may require payment of a sum sufficient to cover any tax or other governmental charge that may be imposed in connection with any transfer or exchange of Securities, other than exchanges pursuant to Sections 3.04, 3.06, 9.06 and 11.07 of the Base Indenture.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Prior to due presentment of this Note for registration of transfer, and except as provided for in the Indenture, the Trustee and any agent of the Company or the Trustee may treat the Person in whose name this Note is registered as the owner hereof for all purposes, whether or not this Note is overdue, and neither the Company, the Trustee nor any such agent shall be affected by notice to the contrary.</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Notes of this series are issuable in minimum denominations of $2,000 and integral multiples of $1,000 in excess thereof. As provided in the Indenture and subject to certain limitations therein set forth, Notes of this series are exchangeable for a like aggregate principal amount of Notes of this series of a different authorized denomination, as requested by the Holder surrendering the same.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NOTE SHALL BE GOVERNED BY AND CONSTRUED IN ACCORDANCE WITH THE LAWS OF THE STATE OF NEW YORK.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75"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ASSIGNMENT</w:t>
      </w:r>
    </w:p>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FOR VALUE RECEIVED, the undersigned assigns and transfers this Note to:</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(Insert assignee’s social security or tax identification number)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8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(Insert address and zip code of assignee) </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irrevocably appoints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agent to transfer this Note on the books of the Company. The agent may substitute another to act for him or her.</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______________</w:t>
      </w:r>
    </w:p>
    <w:tbl>
      <w:tblPr>
        <w:tblW w:w="1124" w:type="dxa"/>
        <w:jc w:val="left"/>
        <w:tblInd w:w="0" w:type="dxa"/>
        <w:tblLayout w:type="fixed"/>
        <w:tblCellMar>
          <w:top w:w="28" w:type="dxa"/>
          <w:left w:w="28" w:type="dxa"/>
          <w:bottom w:w="28" w:type="dxa"/>
          <w:right w:w="28" w:type="dxa"/>
        </w:tblCellMar>
      </w:tblPr>
      <w:tblGrid>
        <w:gridCol w:w="360"/>
        <w:gridCol w:w="316"/>
        <w:gridCol w:w="448"/>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r>
      <w:tr>
        <w:trPr/>
        <w:tc>
          <w:tcPr>
            <w:tcW w:w="112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720"/>
        <w:jc w:val="left"/>
        <w:rPr/>
      </w:pPr>
      <w:r>
        <w:rPr/>
      </w:r>
    </w:p>
    <w:tbl>
      <w:tblPr>
        <w:tblW w:w="2426" w:type="dxa"/>
        <w:jc w:val="left"/>
        <w:tblInd w:w="0" w:type="dxa"/>
        <w:tblLayout w:type="fixed"/>
        <w:tblCellMar>
          <w:top w:w="28" w:type="dxa"/>
          <w:left w:w="28" w:type="dxa"/>
          <w:bottom w:w="28" w:type="dxa"/>
          <w:right w:w="28" w:type="dxa"/>
        </w:tblCellMar>
      </w:tblPr>
      <w:tblGrid>
        <w:gridCol w:w="744"/>
        <w:gridCol w:w="654"/>
        <w:gridCol w:w="656"/>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 Guarantee</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other side of this Note)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76" name="Frame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jc w:val="center"/>
        <w:rPr>
          <w:rFonts w:ascii="Times New Roman;serif" w:hAnsi="Times New Roman;serif"/>
          <w:b w:val="false"/>
          <w:color w:val="000000"/>
          <w:sz w:val="24"/>
        </w:rPr>
      </w:pPr>
      <w:r>
        <w:rPr>
          <w:rFonts w:ascii="Times New Roman;serif" w:hAnsi="Times New Roman;serif"/>
          <w:b w:val="false"/>
          <w:color w:val="000000"/>
          <w:sz w:val="24"/>
        </w:rPr>
        <w:t>SIGNATURE GUARANTEE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Signatures must be guaranteed by an “eligible guarantor institution” meeting the requirements of the Security Registrar, which requirements include membership or participation in the Security Transfer Agent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77"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SCHEDULE OF INCREASES OR DECREASES IN NOTE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initial principal amount of this Note is $500,000,000. The following increases or decreases in the principal amount of this Note have been made:</w:t>
      </w:r>
    </w:p>
    <w:tbl>
      <w:tblPr>
        <w:tblW w:w="10205" w:type="dxa"/>
        <w:jc w:val="left"/>
        <w:tblInd w:w="0" w:type="dxa"/>
        <w:tblLayout w:type="fixed"/>
        <w:tblCellMar>
          <w:top w:w="28" w:type="dxa"/>
          <w:left w:w="28" w:type="dxa"/>
          <w:bottom w:w="28" w:type="dxa"/>
          <w:right w:w="28" w:type="dxa"/>
        </w:tblCellMar>
      </w:tblPr>
      <w:tblGrid>
        <w:gridCol w:w="217"/>
        <w:gridCol w:w="191"/>
        <w:gridCol w:w="193"/>
        <w:gridCol w:w="773"/>
        <w:gridCol w:w="773"/>
        <w:gridCol w:w="775"/>
        <w:gridCol w:w="769"/>
        <w:gridCol w:w="769"/>
        <w:gridCol w:w="771"/>
        <w:gridCol w:w="904"/>
        <w:gridCol w:w="904"/>
        <w:gridCol w:w="907"/>
        <w:gridCol w:w="660"/>
        <w:gridCol w:w="660"/>
        <w:gridCol w:w="939"/>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Date</w:t>
            </w:r>
          </w:p>
        </w:tc>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Amount of decrease in principal amount of this Note</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Amount of increase in principal amount of this Note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Principal amount of this Note following such decrease or increase</w:t>
            </w:r>
          </w:p>
        </w:tc>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Signature of authorized signatory of Trustee</w:t>
            </w:r>
          </w:p>
        </w:tc>
      </w:tr>
      <w:tr>
        <w:trPr/>
        <w:tc>
          <w:tcPr>
            <w:tcW w:w="6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78"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HEREINAFTER REFERRED TO AND IS REGISTERED IN THE NAME OF THE DEPOSITARY OR A NOMINEE OF THE DEPOSITARY. THIS NOTE IS EXCHANGEABLE FOR SECURITIES REGISTERED IN THE NAME OF A PERSON OTHER THAN THE DEPOSITARY OR A NOMINEE OF THE DEPOSITARY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UNLESS THIS CERTIFICATE IS PRESENTED BY AN AUTHORIZED REPRESENTATIVE OF THE DEPOSITORY TRUST COMPANY, NEW YORK, NEW YORK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XYLEM INC.</w:t>
        <w:br/>
        <w:br/>
        <w:t>5.450% Senior Notes due 2032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No.1    $500,000,000</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CUSIP: 98419M AR1</w:t>
        <w:br/>
        <w:t>ISIN: US98419MAR16</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XYLEM INC., a corporation organized and existing under the laws of Indiana (hereinafter called the “Company”, which term includes any successor corporation under the Indenture hereinafter referred to), for value received, hereby promises to pay to Cede &amp; Co. as nominee of the Depository Trust Company, the principal sum of $500,000,000, or such other amount as indicated on the Schedule of Increases or Decreases In Note attached hereto, on January 15, 2032 (such date is hereinafter referred to as the “Maturity Date”), and to pay interest at a rate of 5.450% per annum from September 29, 2026, or from the most recent date to which interest has been paid or provided for, payable semi-annually in arrears on January 15 and July 15 of each year (each, an “Interest Payment Date”), commencing on January 15, 2027 to Holders of record at the close of business on the 15th calendar day (whether or not a Business Day) immediately preceding the Interest Payment Date; provided, however, that interest payable on the Maturity Date of the Notes or any Redemption Date of the Notes shall be payable to the person to whom the principal of such Notes shall be payable.</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79"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Interest payable on the Notes on any Interest Payment Date, Redemption Date or Maturity Date shall be computed on the basis of a 360-day year of twelve 30-day months.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w: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Reference is hereby made to the further provisions of this Note set forth on the reverse hereof, which further provisions shall for all purposes have the same effect as if set forth at this place.</w: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Trustee referred to on the reverse hereof by manual signature, this Note shall not be entitled to any benefit under the Indenture or be valid or obligatory for any purpose.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1155"/>
                <wp:effectExtent l="0" t="0" r="0" b="0"/>
                <wp:wrapNone/>
                <wp:docPr id="80"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instrument to be duly executed.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w:t>
      </w:r>
    </w:p>
    <w:tbl>
      <w:tblPr>
        <w:tblW w:w="1854" w:type="dxa"/>
        <w:jc w:val="left"/>
        <w:tblInd w:w="0" w:type="dxa"/>
        <w:tblLayout w:type="fixed"/>
        <w:tblCellMar>
          <w:top w:w="28" w:type="dxa"/>
          <w:left w:w="28" w:type="dxa"/>
          <w:bottom w:w="28" w:type="dxa"/>
          <w:right w:w="28" w:type="dxa"/>
        </w:tblCellMar>
      </w:tblPr>
      <w:tblGrid>
        <w:gridCol w:w="272"/>
        <w:gridCol w:w="240"/>
        <w:gridCol w:w="240"/>
        <w:gridCol w:w="339"/>
        <w:gridCol w:w="339"/>
        <w:gridCol w:w="424"/>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8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XYLEM INC.</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w:t>
            </w:r>
          </w:p>
        </w:tc>
      </w:tr>
    </w:tbl>
    <w:p>
      <w:pPr>
        <w:pStyle w:val="TextBody"/>
        <w:bidi w:val="0"/>
        <w:spacing w:before="0" w:after="240"/>
        <w:jc w:val="left"/>
        <w:rPr/>
      </w:pPr>
      <w:r>
        <w:rPr/>
      </w:r>
    </w:p>
    <w:p>
      <w:pPr>
        <w:pStyle w:val="TextBody"/>
        <w:bidi w:val="0"/>
        <w:spacing w:before="0" w:after="2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81"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TRUSTEE’S CERTIFICATE OF AUTHENTICATION</w:t>
      </w:r>
    </w:p>
    <w:p>
      <w:pPr>
        <w:pStyle w:val="TextBody"/>
        <w:bidi w:val="0"/>
        <w:spacing w:lineRule="auto" w:line="288" w:before="0" w:after="6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is one of the Securities of the series designated therein referred to in the within-mentioned Indenture.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Dated: </w:t>
      </w:r>
    </w:p>
    <w:tbl>
      <w:tblPr>
        <w:tblW w:w="5667" w:type="dxa"/>
        <w:jc w:val="left"/>
        <w:tblInd w:w="0" w:type="dxa"/>
        <w:tblLayout w:type="fixed"/>
        <w:tblCellMar>
          <w:top w:w="28" w:type="dxa"/>
          <w:left w:w="28" w:type="dxa"/>
          <w:bottom w:w="28" w:type="dxa"/>
          <w:right w:w="28" w:type="dxa"/>
        </w:tblCellMar>
      </w:tblPr>
      <w:tblGrid>
        <w:gridCol w:w="981"/>
        <w:gridCol w:w="864"/>
        <w:gridCol w:w="864"/>
        <w:gridCol w:w="864"/>
        <w:gridCol w:w="864"/>
        <w:gridCol w:w="1230"/>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566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DEUTSCHE BANK TRUST COMPANY AMERICAS</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as Trustee</w:t>
            </w:r>
          </w:p>
        </w:tc>
      </w:tr>
      <w:tr>
        <w:trPr/>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tc>
      </w:tr>
    </w:tbl>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82"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REVERSE OF NOTE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Note is one of a duly authorized issue of securities of the Company (herein called the “Notes”), issued and to be issued in one or more series under an Indenture (the “Original Indenture”), dated as of March 11, 2016, between the Company and Deutsche Bank Trust Company Americas, as Trustee (herein called the “Trustee”, which term includes any successor trustee), as amended and supplemented by Supplemental Indenture No. 1, dated as of March 11, 2016, between the Company and the Trustee (“Supplemental Indenture No. 1”; the Original Indenture, as so amended and supplemented, the “Base Indenture”) and as further supplemented by Supplemental Indenture No. 6, dated as of September 29, 2026, between the Company and the Trustee (“Supplemental Indenture No. 6”; the Base Indenture as so further supplemented, the “Indenture”), to which Indenture reference is hereby made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initially limited in aggregate principal amount to $500,000,000.</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All terms used in this Note that are defined in the Indenture shall have the meaning assigned to them in the Indenture.</w:t>
      </w:r>
    </w:p>
    <w:p>
      <w:pPr>
        <w:pStyle w:val="TextBody"/>
        <w:bidi w:val="0"/>
        <w:spacing w:lineRule="auto" w:line="288" w:before="0" w:after="200"/>
        <w:ind w:left="0" w:right="0" w:firstLine="360"/>
        <w:jc w:val="left"/>
        <w:rPr/>
      </w:pPr>
      <w:r>
        <w:rPr>
          <w:rFonts w:ascii="Times New Roman;serif" w:hAnsi="Times New Roman;serif"/>
          <w:b w:val="false"/>
          <w:color w:val="000000"/>
          <w:sz w:val="24"/>
        </w:rPr>
        <w:t xml:space="preserve">Principal of, premium, if any, and interest on the Notes will be payable at the office of the Paying Agent or, at the Company’s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w:t>
      </w:r>
      <w:r>
        <w:rPr>
          <w:rFonts w:ascii="Times New Roman;serif" w:hAnsi="Times New Roman;serif"/>
          <w:b w:val="false"/>
          <w:color w:val="231F20"/>
          <w:sz w:val="24"/>
        </w:rPr>
        <w:t>a common depositary, and registered in the name of the nominee of the common depositary for the account of The Depository Trust Company, New York, New York (“DTC”) will be made through the facilities of the common depositary</w:t>
      </w:r>
      <w:r>
        <w:rPr>
          <w:rFonts w:ascii="Times New Roman;serif" w:hAnsi="Times New Roman;serif"/>
          <w:b w:val="false"/>
          <w:color w:val="000000"/>
          <w:sz w:val="24"/>
        </w:rPr>
        <w:t xml:space="preserve">. </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Paying Agent, transfer agent and Security Registrar with respect to the Notes shall initially be the Trustee.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Notes shall be issuable in minimum denominations of $2,000 and integral multiples of $1,000 in excess thereof.</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Notes of this series are not entitled to the benefit of any sinking fund.</w:t>
      </w:r>
    </w:p>
    <w:p>
      <w:pPr>
        <w:pStyle w:val="TextBody"/>
        <w:bidi w:val="0"/>
        <w:spacing w:lineRule="auto" w:line="288" w:before="120" w:after="283"/>
        <w:ind w:left="0" w:right="0" w:firstLine="49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If (i) the Company does not consummate the Acquisition on or prior to the later of (x) August 10, 2027 and (y) such later date to which the termination date under the EPA as in effect on the closing date of this offering may be amended in accordance with the terms thereof (such later date, the “Special Mandatory Redemption End Date”), (ii) on or prior to the Special Mandatory Redemption End Date, the EPA is terminated or (iii) the Company otherwise notifies the Trustee in writing that it will not pursue the consummation of the Acquisition (any such event being a “Special Mandatory Redemption Event”), then the Company will be required to redeem (a “Special Mandatory Redemption”) all of the Notes of each series at a redemption price (the “Special Mandatory Redemption Price”) equal to 101% of the aggregate principal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such Notes, plus accrued and unpaid interest thereon, if any, to, but excluding, the Special Mandatory Redemption Date.</w:t>
      </w:r>
    </w:p>
    <w:p>
      <w:pPr>
        <w:pStyle w:val="TextBody"/>
        <w:bidi w:val="0"/>
        <w:spacing w:lineRule="auto" w:line="288" w:before="120" w:after="283"/>
        <w:ind w:left="0" w:right="0" w:firstLine="49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Prior to December 15, 2031, the Company may redeem the Notes at its option, in whole or in part, at any time and from time to time, at a redemption price (expressed as a percentage of principal amount and rounded to three decimal places) equal to the greater of:</w: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 (a) the sum of the present values of the remaining scheduled payments of principal and interest on the Notes discounted to the Redemption Date (assuming the Notes matured on December 15, 2031) on a semi-annual basis (assuming a 360-day year consisting of twelve 30-day months) at the Treasury Rate plus 10 basis points less (b) interest accrued and unpaid to the Redemption Date, and</w: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 100% of the principal amount of the Notes to be redeemed,</w:t>
      </w:r>
    </w:p>
    <w:p>
      <w:pPr>
        <w:pStyle w:val="TextBody"/>
        <w:bidi w:val="0"/>
        <w:spacing w:lineRule="auto" w:line="288" w:before="24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plus, accrued and unpaid interest thereon to the Redemption Date.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On or after December 15, 2031, the Company may redeem the Notes, in whole or in part, at any time and from time to time, at a redemption price equal to 100% of the principal amount of the Notes being redeemed plus accrued and unpaid interest thereon to the Redemption Date.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a Change of Control Triggering Event occurs, unless the Company has exercised its right to redeem the Notes, the Company shall make an offer (the “Change of Control Offer”) to repurchase all or, at the Holder’s option, any part (equal to $2,000 or any multiple of $1,000 in excess thereof) of each Holder’s Notes at 101% of the aggregate principal amount thereof plus accrued and unpaid interest, if any, to, but not including, the date of purchase (the “Change of Control Purchase Price”) in accordance with the procedures set forth herein and in Supplemental Indenture No. 6.</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Within 30 days following any Change of Control Triggering Event or, at the Company’s option, prior to any Change of Control, but after public announcement of the transaction that constitutes or may constitute the Change of Control, the Company shall make the Change of Control Offer by mailing, or causing to be mailed, a notice to all Holders of Notes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On the payment date of the Change of Control Purchase Price as specified in the notice, the Company shall, to the extent lawful:</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 accept for payment all Notes or portions of Notes properly tendered and not withdrawn pursuant to the Change of Control Offer;</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B-B-6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B-B-6</w:t>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(ii) deposit with the Paying Agent an amount equal to the Change of Control Purchase Price in respect of all Notes or portions of Notes properly tendered and not withdrawn pursuant to the Change of Control Offer; and</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(iii) deliver or cause to be delivered to the Trustee the Notes properly accepted together with an Officer’s Certificate stating the aggregate principal amount of Notes or portions of Notes being purchased by the Company.</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Paying Agent shall promptly mail to each Holder who properly tendered Notes pursuant to the Change of Control Offer, the Change of Control Purchase Price for such Notes, and the Trustee shall promptly authenticate and mail (or cause to be transferred by book entry) to each such Holder a new Note equal in principal amount to any unpurchased portion of the Notes surrendered, if any; provided that each new Note will be in a principal amount of $2,000 or a multiple of $1,000 in excess thereof.</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Company will not be required to make a Change of Control Offer upon a Change of Control Triggering Event if a third party makes such an offer in the manner, at the times and otherwise in compliance with the requirements for a Change of Control Offer made by the Company and such third party purchases all Notes properly tendered and not withdrawn under its offer. In the event that such third party terminates or defaults on its offer, the Company shall make a Change of Control Offer treating the date of such termination or default as though it were the date of such Change of Control Triggering Event.</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Company will not repurchase any Notes if there has occurred and is continuing on the relevant payment date an Event of Default under the Indenture, other than a default in the payment of the Change of Control Purchase Price upon a Change of Control Triggering Event.</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Indenture contains provisions for defeasance of the obligations of the Company at any time upon compliance by the Company with certain conditions set forth therein, which provisions apply to the Notes of this series.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an Event of Default with respect to Notes of this series shall occur and be continuing, the principal of the Notes of this series may be declared due and payable in the manner and with the effect provided in the Indenture.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Indenture permits, with certain exceptions as therein provided, the amendment thereof and the modification of the rights and obligations of the Company and the rights of the Holders of the Notes at any time by the Company and the Trustee with the consent of the Holders of a majority in principal amount of the Notes of each series affected thereby and at the time Outstanding. The Indenture also contains provisions permitting the Holders of specified percentages in principal amount of the Notes of a series at the time Outstanding, on behalf of the Holders of all Notes of such series, to waive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B-B-7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B-B-7</w:t>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of this series, of authorized denominations and for the same aggregate principal amount, will be issued to the designated transferee or transferees.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No service charge shall be made for any such registration of transfer or exchange, but the Company may require payment of a sum sufficient to cover any tax or other governmental charge that may be imposed in connection with any transfer or exchange of Securities, other than exchanges pursuant to Sections 3.04, 3.06, 9.06 and 11.07 of the Base Indenture.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Prior to due presentment of this Note for registration of transfer, and except as provided for in the Indenture, the Trustee and any agent of the Company or the Trustee may treat the Person in whose name this Note is registered as the owner hereof for all purposes, whether or not this Note is overdue, and neither the Company, the Trustee nor any such agent shall be affected by notice to the contrary.</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Notes of this series are issuable in minimum denominations of $2,000 and integral multiples of $1,000 in excess thereof. As provided in the Indenture and subject to certain limitations therein set forth, Notes of this series are exchangeable for a like aggregate principal amount of Notes of this series of a different authorized denomination, as requested by the Holder surrendering the same.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NOTE SHALL BE GOVERNED BY AND CONSTRUED IN ACCORDANCE WITH THE LAWS OF THE STATE OF NEW YORK.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B-B-8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B-B-8</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ASSIGNMENT</w:t>
      </w:r>
    </w:p>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FOR VALUE RECEIVED, the undersigned assigns and transfers this Note to:</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(Insert assignee’s social security or tax identification number)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8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(Insert address and zip code of assignee) </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irrevocably appoints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agent to transfer this Note on the books of the Company. The agent may substitute another to act for him or her.</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______________</w:t>
      </w:r>
    </w:p>
    <w:tbl>
      <w:tblPr>
        <w:tblW w:w="1124" w:type="dxa"/>
        <w:jc w:val="left"/>
        <w:tblInd w:w="0" w:type="dxa"/>
        <w:tblLayout w:type="fixed"/>
        <w:tblCellMar>
          <w:top w:w="28" w:type="dxa"/>
          <w:left w:w="28" w:type="dxa"/>
          <w:bottom w:w="28" w:type="dxa"/>
          <w:right w:w="28" w:type="dxa"/>
        </w:tblCellMar>
      </w:tblPr>
      <w:tblGrid>
        <w:gridCol w:w="360"/>
        <w:gridCol w:w="316"/>
        <w:gridCol w:w="448"/>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r>
      <w:tr>
        <w:trPr/>
        <w:tc>
          <w:tcPr>
            <w:tcW w:w="112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720"/>
        <w:jc w:val="left"/>
        <w:rPr/>
      </w:pPr>
      <w:r>
        <w:rPr/>
      </w:r>
    </w:p>
    <w:tbl>
      <w:tblPr>
        <w:tblW w:w="2426" w:type="dxa"/>
        <w:jc w:val="left"/>
        <w:tblInd w:w="0" w:type="dxa"/>
        <w:tblLayout w:type="fixed"/>
        <w:tblCellMar>
          <w:top w:w="28" w:type="dxa"/>
          <w:left w:w="28" w:type="dxa"/>
          <w:bottom w:w="28" w:type="dxa"/>
          <w:right w:w="28" w:type="dxa"/>
        </w:tblCellMar>
      </w:tblPr>
      <w:tblGrid>
        <w:gridCol w:w="744"/>
        <w:gridCol w:w="654"/>
        <w:gridCol w:w="656"/>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 Guarantee</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other side of this Note)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B-9</w:t>
                      </w:r>
                    </w:p>
                  </w:txbxContent>
                </v:textbox>
                <w10:wrap type="none"/>
              </v:rect>
            </w:pict>
          </mc:Fallback>
        </mc:AlternateContent>
      </w:r>
    </w:p>
    <w:p>
      <w:pPr>
        <w:pStyle w:val="TextBody"/>
        <w:bidi w:val="0"/>
        <w:spacing w:lineRule="auto" w:line="288" w:before="0" w:after="200"/>
        <w:jc w:val="center"/>
        <w:rPr>
          <w:rFonts w:ascii="Times New Roman;serif" w:hAnsi="Times New Roman;serif"/>
          <w:b w:val="false"/>
          <w:color w:val="000000"/>
          <w:sz w:val="24"/>
        </w:rPr>
      </w:pPr>
      <w:r>
        <w:rPr>
          <w:rFonts w:ascii="Times New Roman;serif" w:hAnsi="Times New Roman;serif"/>
          <w:b w:val="false"/>
          <w:color w:val="000000"/>
          <w:sz w:val="24"/>
        </w:rPr>
        <w:t>SIGNATURE GUARANTEE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Signatures must be guaranteed by an “eligible guarantor institution” meeting the requirements of the Security Registrar, which requirements include membership or participation in the Security Transfer Agent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B-10</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SCHEDULE OF INCREASES OR DECREASES IN NOTE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initial principal amount of this Note is $500,000,000. The following increases or decreases in the principal amount of this Note have been made:</w:t>
      </w:r>
    </w:p>
    <w:tbl>
      <w:tblPr>
        <w:tblW w:w="10205" w:type="dxa"/>
        <w:jc w:val="left"/>
        <w:tblInd w:w="0" w:type="dxa"/>
        <w:tblLayout w:type="fixed"/>
        <w:tblCellMar>
          <w:top w:w="28" w:type="dxa"/>
          <w:left w:w="28" w:type="dxa"/>
          <w:bottom w:w="28" w:type="dxa"/>
          <w:right w:w="28" w:type="dxa"/>
        </w:tblCellMar>
      </w:tblPr>
      <w:tblGrid>
        <w:gridCol w:w="217"/>
        <w:gridCol w:w="191"/>
        <w:gridCol w:w="193"/>
        <w:gridCol w:w="773"/>
        <w:gridCol w:w="773"/>
        <w:gridCol w:w="775"/>
        <w:gridCol w:w="769"/>
        <w:gridCol w:w="769"/>
        <w:gridCol w:w="771"/>
        <w:gridCol w:w="904"/>
        <w:gridCol w:w="904"/>
        <w:gridCol w:w="907"/>
        <w:gridCol w:w="660"/>
        <w:gridCol w:w="660"/>
        <w:gridCol w:w="939"/>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Date</w:t>
            </w:r>
          </w:p>
        </w:tc>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Amount of decrease in principal amount of this Note</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Amount of increase in principal amount of this Note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Principal amount of this Note following such decrease or increase</w:t>
            </w:r>
          </w:p>
        </w:tc>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Signature of authorized signatory of Trustee</w:t>
            </w:r>
          </w:p>
        </w:tc>
      </w:tr>
      <w:tr>
        <w:trPr/>
        <w:tc>
          <w:tcPr>
            <w:tcW w:w="6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B-11</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HEREINAFTER REFERRED TO AND IS REGISTERED IN THE NAME OF THE DEPOSITARY OR A NOMINEE OF THE DEPOSITARY. THIS NOTE IS EXCHANGEABLE FOR SECURITIES REGISTERED IN THE NAME OF A PERSON OTHER THAN THE DEPOSITARY OR A NOMINEE OF THE DEPOSITARY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UNLESS THIS CERTIFICATE IS PRESENTED BY AN AUTHORIZED REPRESENTATIVE OF THE DEPOSITORY TRUST COMPANY, NEW YORK, NEW YORK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XYLEM INC.</w:t>
        <w:br/>
        <w:br/>
        <w:t>5.850% Senior Notes due 2037</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No.1    $500,000,000</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CUSIP: 98419M AS9</w:t>
        <w:br/>
        <w:t>ISIN: US98419MAS98</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XYLEM INC., a corporation organized and existing under the laws of Indiana (hereinafter called the “Company”, which term includes any successor corporation under the Indenture hereinafter referred to), for value received, hereby promises to pay to Cede &amp; Co. as nominee of the Depository Trust Company, the principal sum of $500,000,000, or such other amount as indicated on the Schedule of Increases or Decreases In Note attached hereto, on January 15, 2037 (such date is hereinafter referred to as the “Maturity Date”), and to pay interest at a rate of 5.850% per annum from September 29, 2026, or from the most recent date to which interest has been paid or provided for, payable semi-annually in arrears on January 15 and July 15 of each year (each, an “Interest Payment Date”), commencing on January 15, 2027 to Holders of record at the close of business on the 15th calendar day (whether or not a Business Day) immediately preceding the Interest Payment Date; provided, however, that interest payable on the Maturity Date of the Notes or any Redemption Date of the Notes shall be payable to the person to whom the principal of such Notes shall be payable.</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1155"/>
                <wp:effectExtent l="0" t="0" r="0" b="0"/>
                <wp:wrapNone/>
                <wp:docPr id="90"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Interest payable on the Notes on any Interest Payment Date, Redemption Date or Maturity Date shall be computed on the basis of a 360-day year of twelve 30-day months.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w: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Reference is hereby made to the further provisions of this Note set forth on the reverse hereof, which further provisions shall for all purposes have the same effect as if set forth at this place.</w:t>
      </w:r>
    </w:p>
    <w:p>
      <w:pPr>
        <w:pStyle w:val="TextBody"/>
        <w:bidi w:val="0"/>
        <w:spacing w:lineRule="auto" w:line="288" w:before="0" w:after="20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Trustee referred to on the reverse hereof by manual signature, this Note shall not be entitled to any benefit under the Indenture or be valid or obligatory for any purpose.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1155"/>
                <wp:effectExtent l="0" t="0" r="0" b="0"/>
                <wp:wrapNone/>
                <wp:docPr id="91" name="Frame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IN WITNESS WHEREOF, the Company has caused this instrument to be duly executed.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w:t>
      </w:r>
    </w:p>
    <w:tbl>
      <w:tblPr>
        <w:tblW w:w="1854" w:type="dxa"/>
        <w:jc w:val="left"/>
        <w:tblInd w:w="0" w:type="dxa"/>
        <w:tblLayout w:type="fixed"/>
        <w:tblCellMar>
          <w:top w:w="28" w:type="dxa"/>
          <w:left w:w="28" w:type="dxa"/>
          <w:bottom w:w="28" w:type="dxa"/>
          <w:right w:w="28" w:type="dxa"/>
        </w:tblCellMar>
      </w:tblPr>
      <w:tblGrid>
        <w:gridCol w:w="272"/>
        <w:gridCol w:w="240"/>
        <w:gridCol w:w="240"/>
        <w:gridCol w:w="339"/>
        <w:gridCol w:w="339"/>
        <w:gridCol w:w="424"/>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8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XYLEM INC.</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w:t>
            </w:r>
          </w:p>
        </w:tc>
      </w:tr>
    </w:tbl>
    <w:p>
      <w:pPr>
        <w:pStyle w:val="TextBody"/>
        <w:bidi w:val="0"/>
        <w:spacing w:before="0" w:after="240"/>
        <w:jc w:val="left"/>
        <w:rPr/>
      </w:pPr>
      <w:r>
        <w:rPr/>
      </w:r>
    </w:p>
    <w:p>
      <w:pPr>
        <w:pStyle w:val="TextBody"/>
        <w:bidi w:val="0"/>
        <w:spacing w:before="0" w:after="2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C-3</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TRUSTEE’S CERTIFICATE OF AUTHENTICATION</w:t>
      </w:r>
    </w:p>
    <w:p>
      <w:pPr>
        <w:pStyle w:val="TextBody"/>
        <w:bidi w:val="0"/>
        <w:spacing w:lineRule="auto" w:line="288" w:before="0" w:after="6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is one of the Securities of the series designated therein referred to in the within-mentioned Indenture.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Dated: </w:t>
      </w:r>
    </w:p>
    <w:tbl>
      <w:tblPr>
        <w:tblW w:w="5667" w:type="dxa"/>
        <w:jc w:val="left"/>
        <w:tblInd w:w="0" w:type="dxa"/>
        <w:tblLayout w:type="fixed"/>
        <w:tblCellMar>
          <w:top w:w="28" w:type="dxa"/>
          <w:left w:w="28" w:type="dxa"/>
          <w:bottom w:w="28" w:type="dxa"/>
          <w:right w:w="28" w:type="dxa"/>
        </w:tblCellMar>
      </w:tblPr>
      <w:tblGrid>
        <w:gridCol w:w="981"/>
        <w:gridCol w:w="864"/>
        <w:gridCol w:w="864"/>
        <w:gridCol w:w="864"/>
        <w:gridCol w:w="864"/>
        <w:gridCol w:w="1230"/>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566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DEUTSCHE BANK TRUST COMPANY AMERICAS</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as Trustee</w:t>
            </w:r>
          </w:p>
        </w:tc>
      </w:tr>
      <w:tr>
        <w:trPr/>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Authorized Signatory</w:t>
            </w:r>
          </w:p>
        </w:tc>
      </w:tr>
    </w:tbl>
    <w:p>
      <w:pPr>
        <w:pStyle w:val="TextBody"/>
        <w:bidi w:val="0"/>
        <w:spacing w:before="0" w:after="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1155"/>
                <wp:effectExtent l="0" t="0" r="0" b="0"/>
                <wp:wrapNone/>
                <wp:docPr id="93" name="Frame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REVERSE OF NOTE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Note is one of a duly authorized issue of securities of the Company (herein called the “Notes”), issued and to be issued in one or more series under an Indenture (the “Original Indenture”), dated as of March 11, 2016, between the Company and Deutsche Bank Trust Company Americas, as Trustee (herein called the “Trustee”, which term includes any successor trustee), as amended and supplemented by Supplemental Indenture No. 1, dated as of March 11, 2016, between the Company and the Trustee (“Supplemental Indenture No. 1”; the Original Indenture, as so amended and supplemented, the “Base Indenture”) and as further supplemented by Supplemental Indenture No. 6, dated as of September 29, 2026, between the Company and the Trustee (“Supplemental Indenture No. 6”; the Base Indenture as so further supplemented, the “Indenture”), to which Indenture reference is hereby made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initially limited in aggregate principal amount to $500,000,000.</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All terms used in this Note that are defined in the Indenture shall have the meaning assigned to them in the Indenture.</w:t>
      </w:r>
    </w:p>
    <w:p>
      <w:pPr>
        <w:pStyle w:val="TextBody"/>
        <w:bidi w:val="0"/>
        <w:spacing w:lineRule="auto" w:line="288" w:before="0" w:after="200"/>
        <w:ind w:left="0" w:right="0" w:firstLine="360"/>
        <w:jc w:val="left"/>
        <w:rPr/>
      </w:pPr>
      <w:r>
        <w:rPr>
          <w:rFonts w:ascii="Times New Roman;serif" w:hAnsi="Times New Roman;serif"/>
          <w:b w:val="false"/>
          <w:color w:val="000000"/>
          <w:sz w:val="24"/>
        </w:rPr>
        <w:t xml:space="preserve">Principal of, premium, if any, and interest on the Notes will be payable at the office of the Paying Agent or, at the Company’s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w:t>
      </w:r>
      <w:r>
        <w:rPr>
          <w:rFonts w:ascii="Times New Roman;serif" w:hAnsi="Times New Roman;serif"/>
          <w:b w:val="false"/>
          <w:color w:val="231F20"/>
          <w:sz w:val="24"/>
        </w:rPr>
        <w:t>a common depositary, and registered in the name of the nominee of the common depositary for the account of The Depository Trust Company, New York, New York (“DTC”) will be made through the facilities of the common depositary</w:t>
      </w:r>
      <w:r>
        <w:rPr>
          <w:rFonts w:ascii="Times New Roman;serif" w:hAnsi="Times New Roman;serif"/>
          <w:b w:val="false"/>
          <w:color w:val="000000"/>
          <w:sz w:val="24"/>
        </w:rPr>
        <w:t xml:space="preserve">. </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Paying Agent, transfer agent and Security Registrar with respect to the Notes shall initially be the Trustee.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Notes shall be issuable in minimum denominations of $2,000 and integral multiples of $1,000 in excess thereof.</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Notes of this series are not entitled to the benefit of any sinking fund.</w:t>
      </w:r>
    </w:p>
    <w:p>
      <w:pPr>
        <w:pStyle w:val="TextBody"/>
        <w:bidi w:val="0"/>
        <w:spacing w:lineRule="auto" w:line="288" w:before="120" w:after="283"/>
        <w:ind w:left="0" w:right="0" w:firstLine="49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If (i) the Company does not consummate the Acquisition on or prior to the later of (x) August 10, 2027 and (y) such later date to which the termination date under the EPA as in effect on the closing date of this offering may be amended in accordance with the terms thereof (such later date, the “Special Mandatory Redemption End Date”), (ii) on or prior to the Special Mandatory Redemption End Date, the EPA is terminated or (iii) the Company otherwise notifies the Trustee in writing that it will not pursue the consummation of the Acquisition (any such event being a “Special Mandatory Redemption Event”), then the Company will be required to redeem (a “Special Mandatory Redemption”) all of the Notes of each series at a redemption price (the “Special Mandatory Redemption Price”) equal to 101% of the aggregate principal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C-5</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such Notes, plus accrued and unpaid interest thereon, if any, to, but excluding, the Special Mandatory Redemption Date.</w:t>
      </w:r>
    </w:p>
    <w:p>
      <w:pPr>
        <w:pStyle w:val="TextBody"/>
        <w:bidi w:val="0"/>
        <w:spacing w:lineRule="auto" w:line="288" w:before="120" w:after="283"/>
        <w:ind w:left="0" w:right="0" w:firstLine="49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Prior to October 15, 2036, the Company may redeem the Notes at its option, in whole or in part, at any time and from time to time, at a redemption price (expressed as a percentage of principal amount and rounded to three decimal places) equal to the greater of:</w: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 (a) the sum of the present values of the remaining scheduled payments of principal and interest on the Notes discounted to the Redemption Date (assuming the Notes matured on October 15, 2036) on a semi-annual basis (assuming a 360-day year consisting of twelve 30-day months) at the Treasury Rate plus 15 basis points less (b) interest accrued and unpaid to the Redemption Date, and</w:t>
      </w:r>
    </w:p>
    <w:p>
      <w:pPr>
        <w:pStyle w:val="TextBody"/>
        <w:bidi w:val="0"/>
        <w:spacing w:lineRule="auto" w:line="288" w:before="12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 100% of the principal amount of the Notes to be redeemed,</w:t>
      </w:r>
    </w:p>
    <w:p>
      <w:pPr>
        <w:pStyle w:val="TextBody"/>
        <w:bidi w:val="0"/>
        <w:spacing w:lineRule="auto" w:line="288" w:before="24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plus, accrued and unpaid interest thereon to the Redemption Date.</w:t>
      </w:r>
    </w:p>
    <w:p>
      <w:pPr>
        <w:pStyle w:val="TextBody"/>
        <w:bidi w:val="0"/>
        <w:spacing w:lineRule="auto" w:line="288" w:before="0" w:after="200"/>
        <w:ind w:left="0" w:right="0" w:firstLine="360"/>
        <w:jc w:val="left"/>
        <w:rPr/>
      </w:pPr>
      <w:r>
        <w:rPr>
          <w:rFonts w:ascii="Times New Roman;serif" w:hAnsi="Times New Roman;serif"/>
          <w:b w:val="false"/>
          <w:color w:val="000000"/>
          <w:sz w:val="20"/>
        </w:rPr>
        <w:t>Section 8.06.</w:t>
      </w:r>
      <w:r>
        <w:rPr>
          <w:rFonts w:ascii="Times New Roman;serif" w:hAnsi="Times New Roman;serif"/>
          <w:b w:val="false"/>
          <w:color w:val="000000"/>
          <w:sz w:val="24"/>
        </w:rPr>
        <w:t>On or after October 15, 2036, the Company may redeem the Notes, in whole or in part, at any time and from time to time, at a redemption price equal to 100% of the principal amount of the Notes being redeemed plus accrued and unpaid interest thereon to the Redemption Date.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a Change of Control Triggering Event occurs, unless the Company has exercised its right to redeem the Notes, the Company shall make an offer (the “Change of Control Offer”) to repurchase all or, at the Holder’s option, any part (equal to $2,000 or any multiple of $1,000 in excess thereof) of each Holder’s Notes at 101% of the aggregate principal amount thereof plus accrued and unpaid interest, if any, to, but not including, the date of purchase (the “Change of Control Purchase Price”) in accordance with the procedures set forth herein and in Supplemental Indenture No. 6.</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Within 30 days following any Change of Control Triggering Event or, at the Company’s option, prior to any Change of Control, but after public announcement of the transaction that constitutes or may constitute the Change of Control, the Company shall make the Change of Control Offer by mailing, or causing to be mailed, a notice to all Holders of Notes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On the payment date of the Change of Control Purchase Price as specified in the notice, the Company shall, to the extent lawful:</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 accept for payment all Notes or portions of Notes properly tendered and not withdrawn pursuant to the Change of Control Offer;</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C-C-6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C-C-6</w:t>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(ii) deposit with the Paying Agent an amount equal to the Change of Control Purchase Price in respect of all Notes or portions of Notes properly tendered and not withdrawn pursuant to the Change of Control Offer; and</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(iii) deliver or cause to be delivered to the Trustee the Notes properly accepted together with an Officer’s Certificate stating the aggregate principal amount of Notes or portions of Notes being purchased by the Company.</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Paying Agent shall promptly mail to each Holder who properly tendered Notes pursuant to the Change of Control Offer, the Change of Control Purchase Price for such Notes, and the Trustee shall promptly authenticate and mail (or cause to be transferred by book entry) to each such Holder a new Note equal in principal amount to any unpurchased portion of the Notes surrendered, if any; provided that each new Note will be in a principal amount of $2,000 or a multiple of $1,000 in excess thereof.</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Company will not be required to make a Change of Control Offer upon a Change of Control Triggering Event if a third party makes such an offer in the manner, at the times and otherwise in compliance with the requirements for a Change of Control Offer made by the Company and such third party purchases all Notes properly tendered and not withdrawn under its offer. In the event that such third party terminates or defaults on its offer, the Company shall make a Change of Control Offer treating the date of such termination or default as though it were the date of such Change of Control Triggering Event.</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Company will not repurchase any Notes if there has occurred and is continuing on the relevant payment date an Event of Default under the Indenture, other than a default in the payment of the Change of Control Purchase Price upon a Change of Control Triggering Event.</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Indenture contains provisions for defeasance of the obligations of the Company at any time upon compliance by the Company with certain conditions set forth therein, which provisions apply to the Notes of this series.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If an Event of Default with respect to Notes of this series shall occur and be continuing, the principal of the Notes of this series may be declared due and payable in the manner and with the effect provided in the Indenture.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Indenture permits, with certain exceptions as therein provided, the amendment thereof and the modification of the rights and obligations of the Company and the rights of the Holders of the Notes at any time by the Company and the Trustee with the consent of the Holders of a majority in principal amount of the Notes of each series affected thereby and at the time Outstanding. The Indenture also contains provisions permitting the Holders of specified percentages in principal amount of the Notes of a series at the time Outstanding, on behalf of the Holders of all Notes of such series, to waive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C-C-7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C-C-7</w:t>
                      </w:r>
                    </w:p>
                  </w:txbxContent>
                </v:textbox>
                <w10:wrap type="none"/>
              </v:rect>
            </w:pict>
          </mc:Fallback>
        </mc:AlternateConten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of this series, of authorized denominations and for the same aggregate principal amount, will be issued to the designated transferee or transferees.</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No service charge shall be made for any such registration of transfer or exchange, but the Company may require payment of a sum sufficient to cover any tax or other governmental charge that may be imposed in connection with any transfer or exchange of Securities, other than exchanges pursuant to Sections 3.04, 3.06, 9.06 and 11.07 of the Base Indenture.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Prior to due presentment of this Note for registration of transfer, and except as provided for in the Indenture, the Trustee and any agent of the Company or the Trustee may treat the Person in whose name this Note is registered as the owner hereof for all purposes, whether or not this Note is overdue, and neither the Company, the Trustee nor any such agent shall be affected by notice to the contrary.</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Notes of this series are issuable in minimum denominations of $2,000 and integral multiples of $1,000 in excess thereof. As provided in the Indenture and subject to certain limitations therein set forth, Notes of this series are exchangeable for a like aggregate principal amount of Notes of this series of a different authorized denomination, as requested by the Holder surrendering the same.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THIS NOTE SHALL BE GOVERNED BY AND CONSTRUED IN ACCORDANCE WITH THE LAWS OF THE STATE OF NEW YORK.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C-C-8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C-C-8</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ASSIGNMENT</w:t>
      </w:r>
    </w:p>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FOR VALUE RECEIVED, the undersigned assigns and transfers this Note to:</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(Insert assignee’s social security or tax identification number)</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8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(Insert address and zip code of assignee) </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irrevocably appoints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agent to transfer this Note on the books of the Company. The agent may substitute another to act for him or her.</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______________</w:t>
      </w:r>
    </w:p>
    <w:tbl>
      <w:tblPr>
        <w:tblW w:w="1124" w:type="dxa"/>
        <w:jc w:val="left"/>
        <w:tblInd w:w="0" w:type="dxa"/>
        <w:tblLayout w:type="fixed"/>
        <w:tblCellMar>
          <w:top w:w="28" w:type="dxa"/>
          <w:left w:w="28" w:type="dxa"/>
          <w:bottom w:w="28" w:type="dxa"/>
          <w:right w:w="28" w:type="dxa"/>
        </w:tblCellMar>
      </w:tblPr>
      <w:tblGrid>
        <w:gridCol w:w="360"/>
        <w:gridCol w:w="316"/>
        <w:gridCol w:w="448"/>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r>
      <w:tr>
        <w:trPr/>
        <w:tc>
          <w:tcPr>
            <w:tcW w:w="112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720"/>
        <w:jc w:val="left"/>
        <w:rPr/>
      </w:pPr>
      <w:r>
        <w:rPr/>
      </w:r>
    </w:p>
    <w:tbl>
      <w:tblPr>
        <w:tblW w:w="2426" w:type="dxa"/>
        <w:jc w:val="left"/>
        <w:tblInd w:w="0" w:type="dxa"/>
        <w:tblLayout w:type="fixed"/>
        <w:tblCellMar>
          <w:top w:w="28" w:type="dxa"/>
          <w:left w:w="28" w:type="dxa"/>
          <w:bottom w:w="28" w:type="dxa"/>
          <w:right w:w="28" w:type="dxa"/>
        </w:tblCellMar>
      </w:tblPr>
      <w:tblGrid>
        <w:gridCol w:w="744"/>
        <w:gridCol w:w="654"/>
        <w:gridCol w:w="656"/>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 Guarantee</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other side of this Note)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C-9</w:t>
                      </w:r>
                    </w:p>
                  </w:txbxContent>
                </v:textbox>
                <w10:wrap type="none"/>
              </v:rect>
            </w:pict>
          </mc:Fallback>
        </mc:AlternateContent>
      </w:r>
    </w:p>
    <w:p>
      <w:pPr>
        <w:pStyle w:val="TextBody"/>
        <w:bidi w:val="0"/>
        <w:spacing w:lineRule="auto" w:line="288" w:before="0" w:after="200"/>
        <w:jc w:val="center"/>
        <w:rPr>
          <w:rFonts w:ascii="Times New Roman;serif" w:hAnsi="Times New Roman;serif"/>
          <w:b w:val="false"/>
          <w:color w:val="000000"/>
          <w:sz w:val="24"/>
        </w:rPr>
      </w:pPr>
      <w:r>
        <w:rPr>
          <w:rFonts w:ascii="Times New Roman;serif" w:hAnsi="Times New Roman;serif"/>
          <w:b w:val="false"/>
          <w:color w:val="000000"/>
          <w:sz w:val="24"/>
        </w:rPr>
        <w:t>SIGNATURE GUARANTEE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Signatures must be guaranteed by an “eligible guarantor institution” meeting the requirements of the Security Registrar, which requirements include membership or participation in the Security Transfer Agent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C-10</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SCHEDULE OF INCREASES OR DECREASES IN NOTE</w:t>
      </w:r>
    </w:p>
    <w:p>
      <w:pPr>
        <w:pStyle w:val="TextBody"/>
        <w:bidi w:val="0"/>
        <w:spacing w:lineRule="auto" w:line="288" w:before="0" w:after="20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The initial principal amount of this Note is $500,000,000. The following increases or decreases in the principal amount of this Note have been made:</w:t>
      </w:r>
    </w:p>
    <w:tbl>
      <w:tblPr>
        <w:tblW w:w="10205" w:type="dxa"/>
        <w:jc w:val="left"/>
        <w:tblInd w:w="0" w:type="dxa"/>
        <w:tblLayout w:type="fixed"/>
        <w:tblCellMar>
          <w:top w:w="28" w:type="dxa"/>
          <w:left w:w="28" w:type="dxa"/>
          <w:bottom w:w="28" w:type="dxa"/>
          <w:right w:w="28" w:type="dxa"/>
        </w:tblCellMar>
      </w:tblPr>
      <w:tblGrid>
        <w:gridCol w:w="217"/>
        <w:gridCol w:w="191"/>
        <w:gridCol w:w="193"/>
        <w:gridCol w:w="773"/>
        <w:gridCol w:w="773"/>
        <w:gridCol w:w="775"/>
        <w:gridCol w:w="769"/>
        <w:gridCol w:w="769"/>
        <w:gridCol w:w="771"/>
        <w:gridCol w:w="904"/>
        <w:gridCol w:w="904"/>
        <w:gridCol w:w="907"/>
        <w:gridCol w:w="660"/>
        <w:gridCol w:w="660"/>
        <w:gridCol w:w="939"/>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Date</w:t>
            </w:r>
          </w:p>
        </w:tc>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Amount of decrease in principal amount of this Note</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Amount of increase in principal amount of this Note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Principal amount of this Note following such decrease or increase</w:t>
            </w:r>
          </w:p>
        </w:tc>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Signature of authorized signatory of Trustee</w:t>
            </w:r>
          </w:p>
        </w:tc>
      </w:tr>
      <w:tr>
        <w:trPr/>
        <w:tc>
          <w:tcPr>
            <w:tcW w:w="6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C-11</w:t>
                      </w:r>
                    </w:p>
                  </w:txbxContent>
                </v:textbox>
                <w10:wrap type="none"/>
              </v:rect>
            </w:pict>
          </mc:Fallback>
        </mc:AlternateContent>
      </w:r>
    </w:p>
    <w:tbl>
      <w:tblPr>
        <w:tblW w:w="4515" w:type="dxa"/>
        <w:jc w:val="left"/>
        <w:tblInd w:w="0" w:type="dxa"/>
        <w:tblLayout w:type="fixed"/>
        <w:tblCellMar>
          <w:top w:w="28" w:type="dxa"/>
          <w:left w:w="28" w:type="dxa"/>
          <w:bottom w:w="28" w:type="dxa"/>
          <w:right w:w="28" w:type="dxa"/>
        </w:tblCellMar>
      </w:tblPr>
      <w:tblGrid>
        <w:gridCol w:w="1446"/>
        <w:gridCol w:w="1271"/>
        <w:gridCol w:w="1798"/>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drawing>
                <wp:inline distT="0" distB="0" distL="0" distR="0">
                  <wp:extent cx="1752600" cy="209550"/>
                  <wp:effectExtent l="0" t="0" r="0" b="0"/>
                  <wp:docPr id="10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 descr=""/>
                          <pic:cNvPicPr>
                            <a:picLocks noChangeAspect="1" noChangeArrowheads="1"/>
                          </pic:cNvPicPr>
                        </pic:nvPicPr>
                        <pic:blipFill>
                          <a:blip r:embed="rId6"/>
                          <a:stretch>
                            <a:fillRect/>
                          </a:stretch>
                        </pic:blipFill>
                        <pic:spPr bwMode="auto">
                          <a:xfrm>
                            <a:off x="0" y="0"/>
                            <a:ext cx="1752600" cy="209550"/>
                          </a:xfrm>
                          <a:prstGeom prst="rect">
                            <a:avLst/>
                          </a:prstGeom>
                        </pic:spPr>
                      </pic:pic>
                    </a:graphicData>
                  </a:graphic>
                </wp:inline>
              </w:drawing>
            </w:r>
            <w:r>
              <w:rPr>
                <w:color w:val="000000"/>
              </w:rPr>
              <w:t>        </w:t>
            </w:r>
            <w:r>
              <w:rPr>
                <w:rFonts w:ascii="Times New Roman;serif" w:hAnsi="Times New Roman;serif"/>
                <w:b/>
                <w:color w:val="000000"/>
                <w:sz w:val="24"/>
              </w:rPr>
              <w:t>Exhibit 5.1</w:t>
            </w:r>
          </w:p>
        </w:tc>
      </w:tr>
      <w:tr>
        <w:trPr/>
        <w:tc>
          <w:tcPr>
            <w:tcW w:w="451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09725" cy="914400"/>
                  <wp:effectExtent l="0" t="0" r="0" b="0"/>
                  <wp:docPr id="10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 descr=""/>
                          <pic:cNvPicPr>
                            <a:picLocks noChangeAspect="1" noChangeArrowheads="1"/>
                          </pic:cNvPicPr>
                        </pic:nvPicPr>
                        <pic:blipFill>
                          <a:blip r:embed="rId7"/>
                          <a:stretch>
                            <a:fillRect/>
                          </a:stretch>
                        </pic:blipFill>
                        <pic:spPr bwMode="auto">
                          <a:xfrm>
                            <a:off x="0" y="0"/>
                            <a:ext cx="1609725" cy="914400"/>
                          </a:xfrm>
                          <a:prstGeom prst="rect">
                            <a:avLst/>
                          </a:prstGeom>
                        </pic:spPr>
                      </pic:pic>
                    </a:graphicData>
                  </a:graphic>
                </wp:inline>
              </w:drawing>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29, 2026</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Xylem Inc.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301 Water Street SE, </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Washington, DC 20003 </w:t>
      </w:r>
    </w:p>
    <w:p>
      <w:pPr>
        <w:pStyle w:val="TextBody"/>
        <w:bidi w:val="0"/>
        <w:spacing w:before="0" w:after="0"/>
        <w:ind w:left="0" w:right="0" w:firstLine="720"/>
        <w:jc w:val="left"/>
        <w:rPr/>
      </w:pPr>
      <w:r>
        <w:rPr/>
      </w:r>
    </w:p>
    <w:p>
      <w:pPr>
        <w:pStyle w:val="TextBody"/>
        <w:bidi w:val="0"/>
        <w:spacing w:lineRule="auto" w:line="288" w:before="240" w:after="283"/>
        <w:ind w:left="0" w:right="0" w:hanging="504"/>
        <w:jc w:val="left"/>
        <w:rPr>
          <w:rFonts w:ascii="Times New Roman;serif" w:hAnsi="Times New Roman;serif"/>
          <w:b w:val="false"/>
          <w:color w:val="000000"/>
          <w:sz w:val="24"/>
        </w:rPr>
      </w:pPr>
      <w:r>
        <w:rPr>
          <w:rFonts w:ascii="Times New Roman;serif" w:hAnsi="Times New Roman;serif"/>
          <w:b w:val="false"/>
          <w:color w:val="000000"/>
          <w:sz w:val="24"/>
        </w:rPr>
        <w:t>Re:    Xylem Inc.</w:t>
      </w:r>
    </w:p>
    <w:p>
      <w:pPr>
        <w:pStyle w:val="TextBody"/>
        <w:bidi w:val="0"/>
        <w:spacing w:lineRule="auto" w:line="288" w:before="0" w:after="0"/>
        <w:ind w:left="0" w:right="0" w:hanging="504"/>
        <w:jc w:val="left"/>
        <w:rPr>
          <w:color w:val="000000"/>
        </w:rPr>
      </w:pPr>
      <w:r>
        <w:rPr>
          <w:color w:val="000000"/>
        </w:rPr>
        <w:t>    </w:t>
      </w:r>
      <w:r>
        <w:rPr>
          <w:rFonts w:ascii="Times New Roman;serif" w:hAnsi="Times New Roman;serif"/>
          <w:b w:val="false"/>
          <w:color w:val="000000"/>
          <w:sz w:val="24"/>
        </w:rPr>
        <w:t>Registration Statement on Form S-3 (File No. 333-297937)</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Ladies and Gentlemen: </w:t>
      </w:r>
    </w:p>
    <w:p>
      <w:pPr>
        <w:pStyle w:val="TextBody"/>
        <w:bidi w:val="0"/>
        <w:spacing w:lineRule="auto" w:line="288" w:before="240" w:after="283"/>
        <w:jc w:val="left"/>
        <w:rPr/>
      </w:pPr>
      <w:r>
        <w:rPr>
          <w:rFonts w:ascii="Times New Roman;serif" w:hAnsi="Times New Roman;serif"/>
          <w:b w:val="false"/>
          <w:color w:val="000000"/>
          <w:sz w:val="24"/>
        </w:rPr>
        <w:t>We have acted as counsel to Xylem Inc., an Indiana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connection with the preparation and filing with the Securities and Exchange Commission (the “</w:t>
      </w:r>
      <w:r>
        <w:rPr>
          <w:rFonts w:ascii="Times New Roman;serif" w:hAnsi="Times New Roman;serif"/>
          <w:b w:val="false"/>
          <w:color w:val="000000"/>
          <w:sz w:val="24"/>
          <w:u w:val="single"/>
        </w:rPr>
        <w:t>Commission</w:t>
      </w:r>
      <w:r>
        <w:rPr>
          <w:color w:val="000000"/>
        </w:rPr>
        <w:t>”</w:t>
      </w:r>
      <w:r>
        <w:rPr>
          <w:rFonts w:ascii="Times New Roman;serif" w:hAnsi="Times New Roman;serif"/>
          <w:b w:val="false"/>
          <w:color w:val="000000"/>
          <w:sz w:val="24"/>
        </w:rPr>
        <w:t>) of a Registration Statement on Form S-3 (File No. 333-297937) (the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the prospectus included therein, the preliminary prospectus supplement, dated September 15, 2026, filed with the Commission on September 15, 2026 pursuant to Rule 424(b) of the Securities Act (the “</w:t>
      </w:r>
      <w:r>
        <w:rPr>
          <w:rFonts w:ascii="Times New Roman;serif" w:hAnsi="Times New Roman;serif"/>
          <w:b w:val="false"/>
          <w:color w:val="000000"/>
          <w:sz w:val="24"/>
          <w:u w:val="single"/>
        </w:rPr>
        <w:t>Preliminary Prospectus Supplement</w:t>
      </w:r>
      <w:r>
        <w:rPr>
          <w:color w:val="000000"/>
        </w:rPr>
        <w:t>”</w:t>
      </w:r>
      <w:r>
        <w:rPr>
          <w:rFonts w:ascii="Times New Roman;serif" w:hAnsi="Times New Roman;serif"/>
          <w:b w:val="false"/>
          <w:color w:val="000000"/>
          <w:sz w:val="24"/>
        </w:rPr>
        <w:t>), the final prospectus supplement, dated September 15, 2026, filed with the Commission on September 17, 2026 pursuant to Rule 424(b) of the Securities Act (the “</w:t>
      </w:r>
      <w:r>
        <w:rPr>
          <w:rFonts w:ascii="Times New Roman;serif" w:hAnsi="Times New Roman;serif"/>
          <w:b w:val="false"/>
          <w:color w:val="000000"/>
          <w:sz w:val="24"/>
          <w:u w:val="single"/>
        </w:rPr>
        <w:t>Final Prospectus Supplement</w:t>
      </w:r>
      <w:r>
        <w:rPr>
          <w:color w:val="000000"/>
        </w:rPr>
        <w:t xml:space="preserve">” </w:t>
      </w:r>
      <w:r>
        <w:rPr>
          <w:rFonts w:ascii="Times New Roman;serif" w:hAnsi="Times New Roman;serif"/>
          <w:b w:val="false"/>
          <w:color w:val="000000"/>
          <w:sz w:val="24"/>
        </w:rPr>
        <w:t>and, collectively with the Preliminary Prospectus Supplement, the “</w:t>
      </w:r>
      <w:r>
        <w:rPr>
          <w:rFonts w:ascii="Times New Roman;serif" w:hAnsi="Times New Roman;serif"/>
          <w:b w:val="false"/>
          <w:color w:val="000000"/>
          <w:sz w:val="24"/>
          <w:u w:val="single"/>
        </w:rPr>
        <w:t>Prospectus Supplement</w:t>
      </w:r>
      <w:r>
        <w:rPr>
          <w:color w:val="000000"/>
        </w:rPr>
        <w:t>”</w:t>
      </w:r>
      <w:r>
        <w:rPr>
          <w:rFonts w:ascii="Times New Roman;serif" w:hAnsi="Times New Roman;serif"/>
          <w:b w:val="false"/>
          <w:color w:val="000000"/>
          <w:sz w:val="24"/>
        </w:rPr>
        <w:t>) and the offering by the Company pursuant thereto of $500,000,000 principal amount of the Company’s 5.250% Senior Notes due 2029 (the “</w:t>
      </w:r>
      <w:r>
        <w:rPr>
          <w:rFonts w:ascii="Times New Roman;serif" w:hAnsi="Times New Roman;serif"/>
          <w:b w:val="false"/>
          <w:color w:val="000000"/>
          <w:sz w:val="24"/>
          <w:u w:val="single"/>
        </w:rPr>
        <w:t>2029 Notes</w:t>
      </w:r>
      <w:r>
        <w:rPr>
          <w:color w:val="000000"/>
        </w:rPr>
        <w:t>”</w:t>
      </w:r>
      <w:r>
        <w:rPr>
          <w:rFonts w:ascii="Times New Roman;serif" w:hAnsi="Times New Roman;serif"/>
          <w:b w:val="false"/>
          <w:color w:val="000000"/>
          <w:sz w:val="24"/>
        </w:rPr>
        <w:t>), $500,000,000 principal amount of the Company’s 5.450% Senior Notes due 2032 (the “</w:t>
      </w:r>
      <w:r>
        <w:rPr>
          <w:rFonts w:ascii="Times New Roman;serif" w:hAnsi="Times New Roman;serif"/>
          <w:b w:val="false"/>
          <w:color w:val="000000"/>
          <w:sz w:val="24"/>
          <w:u w:val="single"/>
        </w:rPr>
        <w:t>2032 Notes</w:t>
      </w:r>
      <w:r>
        <w:rPr>
          <w:color w:val="000000"/>
        </w:rPr>
        <w:t>”</w:t>
      </w:r>
      <w:r>
        <w:rPr>
          <w:rFonts w:ascii="Times New Roman;serif" w:hAnsi="Times New Roman;serif"/>
          <w:b w:val="false"/>
          <w:color w:val="000000"/>
          <w:sz w:val="24"/>
        </w:rPr>
        <w:t>) and $500,000,000 principal amount of the Company’s 5.850% Senior Notes due 2037 (the “</w:t>
      </w:r>
      <w:r>
        <w:rPr>
          <w:rFonts w:ascii="Times New Roman;serif" w:hAnsi="Times New Roman;serif"/>
          <w:b w:val="false"/>
          <w:color w:val="000000"/>
          <w:sz w:val="24"/>
          <w:u w:val="single"/>
        </w:rPr>
        <w:t>2037 Notes”</w:t>
      </w:r>
      <w:r>
        <w:rPr>
          <w:color w:val="000000"/>
        </w:rPr>
        <w:t xml:space="preserve"> </w:t>
      </w:r>
      <w:r>
        <w:rPr>
          <w:rFonts w:ascii="Times New Roman;serif" w:hAnsi="Times New Roman;serif"/>
          <w:b w:val="false"/>
          <w:color w:val="000000"/>
          <w:sz w:val="24"/>
        </w:rPr>
        <w:t>and, together with the 2029 Notes and the 2032 Notes,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lineRule="auto" w:line="288" w:before="240" w:after="283"/>
        <w:jc w:val="left"/>
        <w:rPr/>
      </w:pPr>
      <w:r>
        <w:rPr>
          <w:rFonts w:ascii="Times New Roman;serif" w:hAnsi="Times New Roman;serif"/>
          <w:b w:val="false"/>
          <w:color w:val="000000"/>
          <w:sz w:val="24"/>
        </w:rPr>
        <w:t>The Notes have been issued pursuant to the Indenture, dated as of March 11, 2016 (the “</w:t>
      </w:r>
      <w:r>
        <w:rPr>
          <w:rFonts w:ascii="Times New Roman;serif" w:hAnsi="Times New Roman;serif"/>
          <w:b w:val="false"/>
          <w:color w:val="000000"/>
          <w:sz w:val="24"/>
          <w:u w:val="single"/>
        </w:rPr>
        <w:t>Base Indenture</w:t>
      </w:r>
      <w:r>
        <w:rPr>
          <w:color w:val="000000"/>
        </w:rPr>
        <w:t>”</w:t>
      </w:r>
      <w:r>
        <w:rPr>
          <w:rFonts w:ascii="Times New Roman;serif" w:hAnsi="Times New Roman;serif"/>
          <w:b w:val="false"/>
          <w:color w:val="000000"/>
          <w:sz w:val="24"/>
        </w:rPr>
        <w:t>), between the Company and Deutsche Bank Trust Company Americas, as trustee (the “Trustee”), as modified by the First Supplemental Indenture, dated March 11, 2016 (the “</w:t>
      </w:r>
      <w:r>
        <w:rPr>
          <w:rFonts w:ascii="Times New Roman;serif" w:hAnsi="Times New Roman;serif"/>
          <w:b w:val="false"/>
          <w:color w:val="000000"/>
          <w:sz w:val="24"/>
          <w:u w:val="single"/>
        </w:rPr>
        <w:t>First Supplemental Indenture</w:t>
      </w:r>
      <w:r>
        <w:rPr>
          <w:color w:val="000000"/>
        </w:rPr>
        <w:t>”</w:t>
      </w:r>
      <w:r>
        <w:rPr>
          <w:rFonts w:ascii="Times New Roman;serif" w:hAnsi="Times New Roman;serif"/>
          <w:b w:val="false"/>
          <w:color w:val="000000"/>
          <w:sz w:val="24"/>
        </w:rPr>
        <w:t>), and as further modified in respect of the Notes by the Sixth Supplemental Indenture, dated as of September 29, 2026, relating to the Notes (the “</w:t>
      </w:r>
      <w:r>
        <w:rPr>
          <w:rFonts w:ascii="Times New Roman;serif" w:hAnsi="Times New Roman;serif"/>
          <w:b w:val="false"/>
          <w:color w:val="000000"/>
          <w:sz w:val="24"/>
          <w:u w:val="single"/>
        </w:rPr>
        <w:t>Sixth Supplemental Indenture</w:t>
      </w:r>
      <w:r>
        <w:rPr>
          <w:color w:val="000000"/>
        </w:rPr>
        <w:t>”</w:t>
      </w:r>
      <w:r>
        <w:rPr>
          <w:rFonts w:ascii="Times New Roman;serif" w:hAnsi="Times New Roman;serif"/>
          <w:b w:val="false"/>
          <w:color w:val="000000"/>
          <w:sz w:val="24"/>
        </w:rPr>
        <w:t>, and together with the Base Indenture and the First Supplemental Indenture,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xml:space="preserve">) between the Company and the Trustee.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In arriving at the opinion expressed below, we have examined originals, or copies certified or otherwise identified to our satisfaction as being true and complete copies of the originals, of the Base Indenture, the First Supplemental Indenture, the Sixth Supplemental Indenture, and the Notes and such other documents, corporate records, certificates of officers of the Company and of public officials and other instruments as we have deemed necessary or </w:t>
      </w:r>
    </w:p>
    <w:p>
      <w:pPr>
        <w:pStyle w:val="TextBody"/>
        <w:bidi w:val="0"/>
        <w:spacing w:before="0" w:after="0"/>
        <w:jc w:val="left"/>
        <w:rPr/>
      </w:pPr>
      <w:r>
        <w:rPr/>
        <w:drawing>
          <wp:inline distT="0" distB="0" distL="0" distR="0">
            <wp:extent cx="1752600" cy="209550"/>
            <wp:effectExtent l="0" t="0" r="0" b="0"/>
            <wp:docPr id="10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 descr=""/>
                    <pic:cNvPicPr>
                      <a:picLocks noChangeAspect="1" noChangeArrowheads="1"/>
                    </pic:cNvPicPr>
                  </pic:nvPicPr>
                  <pic:blipFill>
                    <a:blip r:embed="rId8"/>
                    <a:stretch>
                      <a:fillRect/>
                    </a:stretch>
                  </pic:blipFill>
                  <pic:spPr bwMode="auto">
                    <a:xfrm>
                      <a:off x="0" y="0"/>
                      <a:ext cx="1752600" cy="209550"/>
                    </a:xfrm>
                    <a:prstGeom prst="rect">
                      <a:avLst/>
                    </a:prstGeom>
                  </pic:spPr>
                </pic:pic>
              </a:graphicData>
            </a:graphic>
          </wp:inline>
        </w:drawing>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38125"/>
                <wp:effectExtent l="0" t="0" r="0" b="0"/>
                <wp:wrapNone/>
                <wp:docPr id="104" name="Frame97"/>
                <a:graphic xmlns:a="http://schemas.openxmlformats.org/drawingml/2006/main">
                  <a:graphicData uri="http://schemas.microsoft.com/office/word/2010/wordprocessingShape">
                    <wps:wsp>
                      <wps:cNvSpPr txBox="1"/>
                      <wps:spPr>
                        <a:xfrm>
                          <a:off x="0" y="0"/>
                          <a:ext cx="6480175" cy="238125"/>
                        </a:xfrm>
                        <a:prstGeom prst="rect"/>
                        <a:solidFill>
                          <a:srgbClr val="FFFFFF"/>
                        </a:solidFill>
                      </wps:spPr>
                      <wps:txbx>
                        <w:txbxContent>
                          <w:p>
                            <w:pPr>
                              <w:pStyle w:val="TextBody"/>
                              <w:bidi w:val="0"/>
                              <w:spacing w:lineRule="auto" w:line="319" w:before="0" w:after="0"/>
                              <w:jc w:val="left"/>
                              <w:rPr/>
                            </w:pPr>
                            <w:r>
                              <w:rPr>
                                <w:rFonts w:ascii="Arial;sans-serif" w:hAnsi="Arial;sans-serif"/>
                                <w:b/>
                                <w:color w:val="000000"/>
                                <w:sz w:val="14"/>
                              </w:rPr>
                              <w:t>Gibson, Dunn &amp; Crutcher LLP</w:t>
                            </w:r>
                            <w:r>
                              <w:rPr>
                                <w:rFonts w:ascii="Arial;sans-serif" w:hAnsi="Arial;sans-serif"/>
                                <w:b w:val="false"/>
                                <w:color w:val="000000"/>
                                <w:sz w:val="14"/>
                              </w:rPr>
                              <w:br/>
                              <w:t>200 Park Avenue | New York, NY 10166-0193 | T: 212.351.4000 | F: 212.351.4035 | gibsondunn.com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left"/>
                        <w:rPr/>
                      </w:pPr>
                      <w:r>
                        <w:rPr>
                          <w:rFonts w:ascii="Arial;sans-serif" w:hAnsi="Arial;sans-serif"/>
                          <w:b/>
                          <w:color w:val="000000"/>
                          <w:sz w:val="14"/>
                        </w:rPr>
                        <w:t>Gibson, Dunn &amp; Crutcher LLP</w:t>
                      </w:r>
                      <w:r>
                        <w:rPr>
                          <w:rFonts w:ascii="Arial;sans-serif" w:hAnsi="Arial;sans-serif"/>
                          <w:b w:val="false"/>
                          <w:color w:val="000000"/>
                          <w:sz w:val="14"/>
                        </w:rPr>
                        <w:br/>
                        <w:t>200 Park Avenue | New York, NY 10166-0193 | T: 212.351.4000 | F: 212.351.4035 | gibsondunn.com</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Xylem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29, 2026</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advisable to enable us to render this opinion.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this opinion, we have relied to the extent we deemed appropriate and without independent investigation upon statements and representations of officers and other representatives of the Company and others.</w:t>
      </w:r>
    </w:p>
    <w:p>
      <w:pPr>
        <w:pStyle w:val="TextBody"/>
        <w:bidi w:val="0"/>
        <w:spacing w:lineRule="auto" w:line="288" w:before="240" w:after="283"/>
        <w:jc w:val="left"/>
        <w:rPr/>
      </w:pPr>
      <w:r>
        <w:rPr>
          <w:rFonts w:ascii="Times New Roman;serif" w:hAnsi="Times New Roman;serif"/>
          <w:b w:val="false"/>
          <w:color w:val="000000"/>
          <w:sz w:val="24"/>
        </w:rPr>
        <w:t>Based upon the foregoing, and subject to the assumptions, exceptions, qualifications and limitations set forth herein, we are of the opinion that, assuming the Company is validly existing and has all requisite power to execute, deliver and perform its obligations under, and has duly executed and delivered, the Base Indenture, the First Supplemental Indenture and the Sixth Supplemental Indenture and the certificates evidencing the global Notes (collectively, the “</w:t>
      </w:r>
      <w:r>
        <w:rPr>
          <w:rFonts w:ascii="Times New Roman;serif" w:hAnsi="Times New Roman;serif"/>
          <w:b w:val="false"/>
          <w:color w:val="000000"/>
          <w:sz w:val="24"/>
          <w:u w:val="single"/>
        </w:rPr>
        <w:t>Specified Note Documents</w:t>
      </w:r>
      <w:r>
        <w:rPr>
          <w:color w:val="000000"/>
        </w:rPr>
        <w:t>”</w:t>
      </w:r>
      <w:r>
        <w:rPr>
          <w:rFonts w:ascii="Times New Roman;serif" w:hAnsi="Times New Roman;serif"/>
          <w:b w:val="false"/>
          <w:color w:val="000000"/>
          <w:sz w:val="24"/>
        </w:rPr>
        <w:t>), and the Trustee has duly authorized and validly executed and delivered the Specified Note Documents, and the Notes have been authenticated in accordance with the terms of the Indenture, the Notes are legal, valid and binding obligations of the Company, enforceable against the Company in accordance with their respective terms.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opinion expressed above is subject to the following additional exceptions, qualifications, limitations and assumptions: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opinion above is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 We express no opinion regarding the effectiveness of (i) any waiver of stay, extension or usury laws, (ii) provisions relating to indemnification, exculpation or contribution, to the extent such provisions may be held unenforceable as contrary to public </w:t>
      </w:r>
    </w:p>
    <w:p>
      <w:pPr>
        <w:pStyle w:val="TextBody"/>
        <w:bidi w:val="0"/>
        <w:spacing w:before="0" w:after="0"/>
        <w:jc w:val="left"/>
        <w:rPr/>
      </w:pPr>
      <w:r>
        <w:rPr/>
        <w:drawing>
          <wp:inline distT="0" distB="0" distL="0" distR="0">
            <wp:extent cx="1752600" cy="209550"/>
            <wp:effectExtent l="0" t="0" r="0" b="0"/>
            <wp:docPr id="10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 descr=""/>
                    <pic:cNvPicPr>
                      <a:picLocks noChangeAspect="1" noChangeArrowheads="1"/>
                    </pic:cNvPicPr>
                  </pic:nvPicPr>
                  <pic:blipFill>
                    <a:blip r:embed="rId9"/>
                    <a:stretch>
                      <a:fillRect/>
                    </a:stretch>
                  </pic:blipFill>
                  <pic:spPr bwMode="auto">
                    <a:xfrm>
                      <a:off x="0" y="0"/>
                      <a:ext cx="1752600" cy="209550"/>
                    </a:xfrm>
                    <a:prstGeom prst="rect">
                      <a:avLst/>
                    </a:prstGeom>
                  </pic:spPr>
                </pic:pic>
              </a:graphicData>
            </a:graphic>
          </wp:inline>
        </w:drawing>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6"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Xylem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29, 2026</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policy or federal or state securities laws or due to the negligence or willful misconduct of the indemnified party, (iii) any waiver of the right to jury trial or (iv) any provision to the effect that every right or remedy is cumulative and may be exercised in addition to any other right or remedy or that the election of some particular remedy does not preclude recourse to one or more others.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We consent to the filing of this opinion as an exhibit to the Registration Statement, and we further consent to the use of our name under the caption “Legal Matters” in the Registration Statement and the Prospectus Supplement. In giving these consents, we do not thereby admit that we are within the category of persons whose consent is required under Section 7 of the Securities Act or the rules and regulations of the Commission promulgated thereunder.</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240" w:after="960"/>
        <w:jc w:val="left"/>
        <w:rPr>
          <w:rFonts w:ascii="Times New Roman;serif" w:hAnsi="Times New Roman;serif"/>
          <w:b w:val="false"/>
          <w:color w:val="000000"/>
          <w:sz w:val="24"/>
        </w:rPr>
      </w:pPr>
      <w:r>
        <w:rPr>
          <w:rFonts w:ascii="Times New Roman;serif" w:hAnsi="Times New Roman;serif"/>
          <w:b w:val="false"/>
          <w:color w:val="000000"/>
          <w:sz w:val="24"/>
        </w:rPr>
        <w:t>/s/ Gibson, Dunn &amp; Crutcher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5.2</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7"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2760" w:type="dxa"/>
        <w:jc w:val="left"/>
        <w:tblInd w:w="0" w:type="dxa"/>
        <w:tblLayout w:type="fixed"/>
        <w:tblCellMar>
          <w:top w:w="28" w:type="dxa"/>
          <w:left w:w="28" w:type="dxa"/>
          <w:bottom w:w="28" w:type="dxa"/>
          <w:right w:w="28" w:type="dxa"/>
        </w:tblCellMar>
      </w:tblPr>
      <w:tblGrid>
        <w:gridCol w:w="883"/>
        <w:gridCol w:w="776"/>
        <w:gridCol w:w="1101"/>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11 S. Meridian Street</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Indianapolis, IN 46204-3535 U.S.A. </w:t>
              <w:br/>
              <w:t>(317) 236-1313</w:t>
              <w:br/>
              <w:t>Fax (317) 231-7433</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www.btlaw.com</w:t>
            </w:r>
          </w:p>
        </w:tc>
      </w:tr>
    </w:tbl>
    <w:p>
      <w:pPr>
        <w:pStyle w:val="TextBody"/>
        <w:bidi w:val="0"/>
        <w:spacing w:lineRule="auto" w:line="288" w:before="0" w:after="0"/>
        <w:jc w:val="left"/>
        <w:rPr/>
      </w:pPr>
      <w:r>
        <w:rPr/>
        <w:drawing>
          <wp:inline distT="0" distB="0" distL="0" distR="0">
            <wp:extent cx="952500" cy="438150"/>
            <wp:effectExtent l="0" t="0" r="0" b="0"/>
            <wp:docPr id="10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 descr=""/>
                    <pic:cNvPicPr>
                      <a:picLocks noChangeAspect="1" noChangeArrowheads="1"/>
                    </pic:cNvPicPr>
                  </pic:nvPicPr>
                  <pic:blipFill>
                    <a:blip r:embed="rId10"/>
                    <a:stretch>
                      <a:fillRect/>
                    </a:stretch>
                  </pic:blipFill>
                  <pic:spPr bwMode="auto">
                    <a:xfrm>
                      <a:off x="0" y="0"/>
                      <a:ext cx="952500" cy="43815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September 29,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Xylem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301 Water Street, N.E.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Washington, D.C. 20003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We have acted as special Indiana counsel to Xylem Inc., an Indiana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the offering of $500,000,000 aggregate principal amount of its 5.250% Senior Notes due 2029, $500,000,000 aggregate principal amount of its 5.450% Senior Notes due 2032, and $500,000,000 aggregate principal amount of its 5.850% Senior Notes due 2037 (collectively, the “</w:t>
      </w:r>
      <w:r>
        <w:rPr>
          <w:rFonts w:ascii="Times New Roman;serif" w:hAnsi="Times New Roman;serif"/>
          <w:b/>
          <w:i/>
          <w:color w:val="000000"/>
          <w:sz w:val="24"/>
        </w:rPr>
        <w:t>Notes</w:t>
      </w:r>
      <w:r>
        <w:rPr>
          <w:color w:val="000000"/>
        </w:rPr>
        <w:t>”</w:t>
      </w:r>
      <w:r>
        <w:rPr>
          <w:rFonts w:ascii="Times New Roman;serif" w:hAnsi="Times New Roman;serif"/>
          <w:b w:val="false"/>
          <w:color w:val="000000"/>
          <w:sz w:val="24"/>
        </w:rPr>
        <w:t>), to be issued pursuant to the Registration Statement on Form S-3 (File No. 333-297937) originally filed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 on August 3, 2026 and which became effective automatically upon filing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the related prospectus included in the Registration Statement (the “</w:t>
      </w:r>
      <w:r>
        <w:rPr>
          <w:rFonts w:ascii="Times New Roman;serif" w:hAnsi="Times New Roman;serif"/>
          <w:b/>
          <w:i/>
          <w:color w:val="000000"/>
          <w:sz w:val="24"/>
        </w:rPr>
        <w:t>Base Prospectus</w:t>
      </w:r>
      <w:r>
        <w:rPr>
          <w:color w:val="000000"/>
        </w:rPr>
        <w:t>”</w:t>
      </w:r>
      <w:r>
        <w:rPr>
          <w:rFonts w:ascii="Times New Roman;serif" w:hAnsi="Times New Roman;serif"/>
          <w:b w:val="false"/>
          <w:color w:val="000000"/>
          <w:sz w:val="24"/>
        </w:rPr>
        <w:t>), the preliminary prospectus supplement thereto dated September 15, 2026 filed with the Commission on that same date pursuant to Rule 424(b) of the Securities Act (the “</w:t>
      </w:r>
      <w:r>
        <w:rPr>
          <w:rFonts w:ascii="Times New Roman;serif" w:hAnsi="Times New Roman;serif"/>
          <w:b/>
          <w:i/>
          <w:color w:val="000000"/>
          <w:sz w:val="24"/>
        </w:rPr>
        <w:t>Preliminary Prospectus Supplement</w:t>
      </w:r>
      <w:r>
        <w:rPr>
          <w:color w:val="000000"/>
        </w:rPr>
        <w:t>”</w:t>
      </w:r>
      <w:r>
        <w:rPr>
          <w:rFonts w:ascii="Times New Roman;serif" w:hAnsi="Times New Roman;serif"/>
          <w:b w:val="false"/>
          <w:color w:val="000000"/>
          <w:sz w:val="24"/>
        </w:rPr>
        <w:t>), and the final prospectus supplement thereto dated September 15, 2026 filed with the Commission on September 17, 2026 pursuant to Rule 424(b) of the Securities Act (the “</w:t>
      </w:r>
      <w:r>
        <w:rPr>
          <w:rFonts w:ascii="Times New Roman;serif" w:hAnsi="Times New Roman;serif"/>
          <w:b/>
          <w:i/>
          <w:color w:val="000000"/>
          <w:sz w:val="24"/>
        </w:rPr>
        <w:t>Final Prospectus Supplement</w:t>
      </w:r>
      <w:r>
        <w:rPr>
          <w:rFonts w:ascii="Times New Roman;serif" w:hAnsi="Times New Roman;serif"/>
          <w:b w:val="false"/>
          <w:color w:val="000000"/>
          <w:sz w:val="24"/>
        </w:rPr>
        <w:t>,” and collectively with the Preliminary Prospectus Supplement, the “</w:t>
      </w:r>
      <w:r>
        <w:rPr>
          <w:rFonts w:ascii="Times New Roman;serif" w:hAnsi="Times New Roman;serif"/>
          <w:b/>
          <w:i/>
          <w:color w:val="000000"/>
          <w:sz w:val="24"/>
        </w:rPr>
        <w:t>Prospectus Supplement</w:t>
      </w:r>
      <w:r>
        <w:rPr>
          <w:color w:val="000000"/>
        </w:rPr>
        <w:t>”</w:t>
      </w:r>
      <w:r>
        <w:rPr>
          <w:rFonts w:ascii="Times New Roman;serif" w:hAnsi="Times New Roman;serif"/>
          <w:b w:val="false"/>
          <w:color w:val="000000"/>
          <w:sz w:val="24"/>
        </w:rPr>
        <w:t>). The Base Prospectus and the Prospectus Supplement are collectively referred to herein as the “</w:t>
      </w:r>
      <w:r>
        <w:rPr>
          <w:rFonts w:ascii="Times New Roman;serif" w:hAnsi="Times New Roman;serif"/>
          <w:b/>
          <w:i/>
          <w:color w:val="000000"/>
          <w:sz w:val="24"/>
        </w:rPr>
        <w:t>Prospectus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The Notes are to be issued by the Company pursuant to an Underwriting Agreement (the “</w:t>
      </w:r>
      <w:r>
        <w:rPr>
          <w:rFonts w:ascii="Times New Roman;serif" w:hAnsi="Times New Roman;serif"/>
          <w:b/>
          <w:i/>
          <w:color w:val="000000"/>
          <w:sz w:val="24"/>
        </w:rPr>
        <w:t>Underwriting Agreement</w:t>
      </w:r>
      <w:r>
        <w:rPr>
          <w:color w:val="000000"/>
        </w:rPr>
        <w:t>”</w:t>
      </w:r>
      <w:r>
        <w:rPr>
          <w:rFonts w:ascii="Times New Roman;serif" w:hAnsi="Times New Roman;serif"/>
          <w:b w:val="false"/>
          <w:color w:val="000000"/>
          <w:sz w:val="24"/>
        </w:rPr>
        <w:t>), dated as of September 15, 2026, by and among the Company and the several underwriters listed in Schedule 1 to the Underwriting Agreement, for whom Citigroup Global Markets Inc., ING Financial Markets LLC, J.P. Morgan Securities LLC, BNP Paribas Securities Corp., and Wells Fargo Securities, LLC are acting as representatives, and an Indenture dated as of March 11, 2016 (the “</w:t>
      </w:r>
      <w:r>
        <w:rPr>
          <w:rFonts w:ascii="Times New Roman;serif" w:hAnsi="Times New Roman;serif"/>
          <w:b/>
          <w:i/>
          <w:color w:val="000000"/>
          <w:sz w:val="24"/>
        </w:rPr>
        <w:t>Base Indenture</w:t>
      </w:r>
      <w:r>
        <w:rPr>
          <w:color w:val="000000"/>
        </w:rPr>
        <w:t>”</w:t>
      </w:r>
      <w:r>
        <w:rPr>
          <w:rFonts w:ascii="Times New Roman;serif" w:hAnsi="Times New Roman;serif"/>
          <w:b w:val="false"/>
          <w:color w:val="000000"/>
          <w:sz w:val="24"/>
        </w:rPr>
        <w:t>), between the Company and Deutsche Bank Trust Company Americas, as indenture trustee (the “</w:t>
      </w:r>
      <w:r>
        <w:rPr>
          <w:rFonts w:ascii="Times New Roman;serif" w:hAnsi="Times New Roman;serif"/>
          <w:b/>
          <w:i/>
          <w:color w:val="000000"/>
          <w:sz w:val="24"/>
        </w:rPr>
        <w:t>Trustee</w:t>
      </w:r>
      <w:r>
        <w:rPr>
          <w:color w:val="000000"/>
        </w:rPr>
        <w:t>”</w:t>
      </w:r>
      <w:r>
        <w:rPr>
          <w:rFonts w:ascii="Times New Roman;serif" w:hAnsi="Times New Roman;serif"/>
          <w:b w:val="false"/>
          <w:color w:val="000000"/>
          <w:sz w:val="24"/>
        </w:rPr>
        <w:t>), as supplemented by the First Supplemental Indenture dated as of March 11, 2016 (the “</w:t>
      </w:r>
      <w:r>
        <w:rPr>
          <w:rFonts w:ascii="Times New Roman;serif" w:hAnsi="Times New Roman;serif"/>
          <w:b/>
          <w:i/>
          <w:color w:val="000000"/>
          <w:sz w:val="24"/>
        </w:rPr>
        <w:t>First Supplemental Indenture</w:t>
      </w:r>
      <w:r>
        <w:rPr>
          <w:color w:val="000000"/>
        </w:rPr>
        <w:t>”</w:t>
      </w:r>
      <w:r>
        <w:rPr>
          <w:rFonts w:ascii="Times New Roman;serif" w:hAnsi="Times New Roman;serif"/>
          <w:b w:val="false"/>
          <w:color w:val="000000"/>
          <w:sz w:val="24"/>
        </w:rPr>
        <w:t>), and the Sixth Supplemental Indenture dated as of September 29, 2026 (the “</w:t>
      </w:r>
      <w:r>
        <w:rPr>
          <w:rFonts w:ascii="Times New Roman;serif" w:hAnsi="Times New Roman;serif"/>
          <w:b/>
          <w:i/>
          <w:color w:val="000000"/>
          <w:sz w:val="24"/>
        </w:rPr>
        <w:t>Sixth Supplemental Indenture</w:t>
      </w:r>
      <w:r>
        <w:rPr>
          <w:rFonts w:ascii="Times New Roman;serif" w:hAnsi="Times New Roman;serif"/>
          <w:b w:val="false"/>
          <w:color w:val="000000"/>
          <w:sz w:val="24"/>
        </w:rPr>
        <w:t>,” and collectively with the Base Indenture and the First Supplemental Indenture, the “</w:t>
      </w:r>
      <w:r>
        <w:rPr>
          <w:rFonts w:ascii="Times New Roman;serif" w:hAnsi="Times New Roman;serif"/>
          <w:b/>
          <w:i/>
          <w:color w:val="000000"/>
          <w:sz w:val="24"/>
        </w:rPr>
        <w:t>Indenture</w:t>
      </w:r>
      <w:r>
        <w:rPr>
          <w:color w:val="000000"/>
        </w:rPr>
        <w:t>”</w:t>
      </w:r>
      <w:r>
        <w:rPr>
          <w:rFonts w:ascii="Times New Roman;serif" w:hAnsi="Times New Roman;serif"/>
          <w:b w:val="false"/>
          <w:color w:val="000000"/>
          <w:sz w:val="24"/>
        </w:rPr>
        <w:t xml:space="preserve">), between the Company and the Trustee, establishing the terms of the Notes.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rendering the opinions set forth below, we have examined and relied upon copies, certified or otherwise identified to our satisfaction, of such documents and records of the Company and such statutes, regulations, and other instruments as we deemed necessary or advisable for purposes of the opinions expressed herein, including (i) the Registration Statement;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Xylem Inc.</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64845"/>
                <wp:effectExtent l="0" t="0" r="0" b="0"/>
                <wp:wrapNone/>
                <wp:docPr id="109" name="Frame100"/>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r>
                                    <w:br w:type="page"/>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Atlanta | Baltimore | Boston | Chicago | Dallas | Delaware | Denver | Florida | Indiana | Los Angeles | Michigan | Minneapolis | Nashville New Jersey | New York | North Carolina | Ohio | Philadelphia | Phoenix | Salt Lake City | San Diego | Washington, D.C.</w:t>
                                  </w:r>
                                </w:p>
                              </w:tc>
                            </w:tr>
                          </w:tbl>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Atlanta | Baltimore | Boston | Chicago | Dallas | Delaware | Denver | Florida | Indiana | Los Angeles | Michigan | Minneapolis | Nashville New Jersey | New York | North Carolina | Ohio | Philadelphia | Phoenix | Salt Lake City | San Diego | Washington, D.C.</w:t>
                            </w:r>
                          </w:p>
                        </w:tc>
                      </w:tr>
                    </w:tbl>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29,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(ii) the Prospectus; (iii) the Underwriting Agreement, Indenture, and the certificates evidencing the global Notes (collectively, the “</w:t>
      </w:r>
      <w:r>
        <w:rPr>
          <w:rFonts w:ascii="Times New Roman;serif" w:hAnsi="Times New Roman;serif"/>
          <w:b/>
          <w:i/>
          <w:color w:val="000000"/>
          <w:sz w:val="24"/>
        </w:rPr>
        <w:t>Notes Documents</w:t>
      </w:r>
      <w:r>
        <w:rPr>
          <w:color w:val="000000"/>
        </w:rPr>
        <w:t>”</w:t>
      </w:r>
      <w:r>
        <w:rPr>
          <w:rFonts w:ascii="Times New Roman;serif" w:hAnsi="Times New Roman;serif"/>
          <w:b w:val="false"/>
          <w:color w:val="000000"/>
          <w:sz w:val="24"/>
        </w:rPr>
        <w:t>); (iv) the Fourth Amended and Restated Articles of Incorporation of the Company; (v) the Fifth Amended and Restated By-Laws of the Company; (vi)</w:t>
      </w:r>
      <w:r>
        <w:rPr>
          <w:color w:val="000000"/>
        </w:rPr>
        <w:t xml:space="preserve"> </w:t>
      </w:r>
      <w:r>
        <w:rPr>
          <w:rFonts w:ascii="Times New Roman;serif" w:hAnsi="Times New Roman;serif"/>
          <w:b w:val="false"/>
          <w:color w:val="000000"/>
          <w:sz w:val="24"/>
        </w:rPr>
        <w:t xml:space="preserve">certain resolutions adopted by the Board of Directors of the Company; and (vii) such other certificates, instruments, and documents as we have considered necessary for purposes of this opinion letter. As to certain matters of fact material to our opinions, we have relied, to the extent that we deem such reliance proper, upon certificates of public officials and officers or other representatives of the Company, and we have not otherwise independently investigated or verified such facts. We are opining herein as to the Indiana Business Corporation Law, and we express no opinion with respect to any other laws.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rendering the opinions set forth herein, we have assumed (i) that all information contained in all documents reviewed by us is true and correct; (ii) that all signatures on all documents examined by us are genuine; (iii) that all documents submitted to us as originals are authentic and all documents submitted to us as copies conform to the originals of those documents; (iv) the legal capacity of all natural persons; and (v) the authority of all persons signing all documents submitted to us on behalf of the parties to such documents.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upon the foregoing, and subject to the assumptions, qualifications, limitations, and exceptions set forth herein, we are of the opinion that: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1.The Company is validly existing as a corporation under the laws of the State of Indiana and has all requisite corporate power to execute and deliver the Notes Documents and to perform its obligations thereunder.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2.The execution and delivery by the Company of the Notes Documents and the performance of its obligations thereunder have been duly authorized by all necessary corporate action.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express no opinion herein other than as expressly stated above. The opinions set forth herein are expressed as of the date hereof, and we disclaim any undertaking to advise the Company or any other party of any subsequent changes to the matters stated, represented, or assumed herein or any subsequent changes in applicable law.</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hereby consent to the filing of this opinion letter as Exhibit 5.2 to a Current Report on Form 8-K to be filed by the Company with the Commission, to the incorporation by reference of this opinion letter in the Registration Statement, and to the reference to us under the heading “Legal Matters” in the Prospectus that is a part of the Registration Statement. However, in giving such consent, we do not thereby admit that we are in the category of persons whose consent is required under Section 7 of the Securities Act or the rules and regulations of the Commission thereunder.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Xylem Inc.</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49605"/>
                <wp:effectExtent l="0" t="0" r="0" b="0"/>
                <wp:wrapNone/>
                <wp:docPr id="110" name="Frame101"/>
                <a:graphic xmlns:a="http://schemas.openxmlformats.org/drawingml/2006/main">
                  <a:graphicData uri="http://schemas.microsoft.com/office/word/2010/wordprocessingShape">
                    <wps:wsp>
                      <wps:cNvSpPr txBox="1"/>
                      <wps:spPr>
                        <a:xfrm>
                          <a:off x="0" y="0"/>
                          <a:ext cx="6480175" cy="649605"/>
                        </a:xfrm>
                        <a:prstGeom prst="rect"/>
                        <a:solidFill>
                          <a:srgbClr val="FFFFFF"/>
                        </a:solidFill>
                      </wps:spPr>
                      <wps:txbx>
                        <w:txbxContent>
                          <w:p>
                            <w:pPr>
                              <w:pStyle w:val="TextBody"/>
                              <w:bidi w:val="0"/>
                              <w:spacing w:lineRule="auto" w:line="288" w:before="0" w:after="0"/>
                              <w:jc w:val="left"/>
                              <w:rPr/>
                            </w:pPr>
                            <w:r>
                              <w:rPr/>
                              <w:drawing>
                                <wp:inline distT="0" distB="0" distL="0" distR="0">
                                  <wp:extent cx="1666875" cy="342900"/>
                                  <wp:effectExtent l="0" t="0" r="0" b="0"/>
                                  <wp:docPr id="1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 descr=""/>
                                          <pic:cNvPicPr>
                                            <a:picLocks noChangeAspect="1" noChangeArrowheads="1"/>
                                          </pic:cNvPicPr>
                                        </pic:nvPicPr>
                                        <pic:blipFill>
                                          <a:blip r:embed="rId11"/>
                                          <a:stretch>
                                            <a:fillRect/>
                                          </a:stretch>
                                        </pic:blipFill>
                                        <pic:spPr bwMode="auto">
                                          <a:xfrm>
                                            <a:off x="0" y="0"/>
                                            <a:ext cx="1666875" cy="342900"/>
                                          </a:xfrm>
                                          <a:prstGeom prst="rect">
                                            <a:avLst/>
                                          </a:prstGeom>
                                        </pic:spPr>
                                      </pic:pic>
                                    </a:graphicData>
                                  </a:graphic>
                                </wp:inline>
                              </w:drawing>
                            </w:r>
                            <w:r>
                              <w:rPr>
                                <w:color w:val="000000"/>
                              </w:rPr>
                              <w:t>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666875" cy="342900"/>
                            <wp:effectExtent l="0" t="0" r="0" b="0"/>
                            <wp:docPr id="1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 descr=""/>
                                    <pic:cNvPicPr>
                                      <a:picLocks noChangeAspect="1" noChangeArrowheads="1"/>
                                    </pic:cNvPicPr>
                                  </pic:nvPicPr>
                                  <pic:blipFill>
                                    <a:blip r:embed="rId12"/>
                                    <a:stretch>
                                      <a:fillRect/>
                                    </a:stretch>
                                  </pic:blipFill>
                                  <pic:spPr bwMode="auto">
                                    <a:xfrm>
                                      <a:off x="0" y="0"/>
                                      <a:ext cx="1666875" cy="342900"/>
                                    </a:xfrm>
                                    <a:prstGeom prst="rect">
                                      <a:avLst/>
                                    </a:prstGeom>
                                  </pic:spPr>
                                </pic:pic>
                              </a:graphicData>
                            </a:graphic>
                          </wp:inline>
                        </w:drawing>
                      </w: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29,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Very truly yours,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 Barnes &amp; Thornburg LLP</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BARNES &amp; THORNBURG LLP</w:t>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49605"/>
                <wp:effectExtent l="0" t="0" r="0" b="0"/>
                <wp:wrapNone/>
                <wp:docPr id="113" name="Frame102"/>
                <a:graphic xmlns:a="http://schemas.openxmlformats.org/drawingml/2006/main">
                  <a:graphicData uri="http://schemas.microsoft.com/office/word/2010/wordprocessingShape">
                    <wps:wsp>
                      <wps:cNvSpPr txBox="1"/>
                      <wps:spPr>
                        <a:xfrm>
                          <a:off x="0" y="0"/>
                          <a:ext cx="6480175" cy="649605"/>
                        </a:xfrm>
                        <a:prstGeom prst="rect"/>
                        <a:solidFill>
                          <a:srgbClr val="FFFFFF"/>
                        </a:solidFill>
                      </wps:spPr>
                      <wps:txbx>
                        <w:txbxContent>
                          <w:p>
                            <w:pPr>
                              <w:pStyle w:val="TextBody"/>
                              <w:bidi w:val="0"/>
                              <w:spacing w:lineRule="auto" w:line="288" w:before="0" w:after="0"/>
                              <w:jc w:val="left"/>
                              <w:rPr/>
                            </w:pPr>
                            <w:r>
                              <w:rPr/>
                              <w:drawing>
                                <wp:inline distT="0" distB="0" distL="0" distR="0">
                                  <wp:extent cx="1666875" cy="342900"/>
                                  <wp:effectExtent l="0" t="0" r="0" b="0"/>
                                  <wp:docPr id="1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 descr=""/>
                                          <pic:cNvPicPr>
                                            <a:picLocks noChangeAspect="1" noChangeArrowheads="1"/>
                                          </pic:cNvPicPr>
                                        </pic:nvPicPr>
                                        <pic:blipFill>
                                          <a:blip r:embed="rId13"/>
                                          <a:stretch>
                                            <a:fillRect/>
                                          </a:stretch>
                                        </pic:blipFill>
                                        <pic:spPr bwMode="auto">
                                          <a:xfrm>
                                            <a:off x="0" y="0"/>
                                            <a:ext cx="1666875" cy="342900"/>
                                          </a:xfrm>
                                          <a:prstGeom prst="rect">
                                            <a:avLst/>
                                          </a:prstGeom>
                                        </pic:spPr>
                                      </pic:pic>
                                    </a:graphicData>
                                  </a:graphic>
                                </wp:inline>
                              </w:drawing>
                            </w:r>
                            <w:r>
                              <w:rPr>
                                <w:color w:val="000000"/>
                              </w:rPr>
                              <w:t>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666875" cy="342900"/>
                            <wp:effectExtent l="0" t="0" r="0" b="0"/>
                            <wp:docPr id="1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 descr=""/>
                                    <pic:cNvPicPr>
                                      <a:picLocks noChangeAspect="1" noChangeArrowheads="1"/>
                                    </pic:cNvPicPr>
                                  </pic:nvPicPr>
                                  <pic:blipFill>
                                    <a:blip r:embed="rId14"/>
                                    <a:stretch>
                                      <a:fillRect/>
                                    </a:stretch>
                                  </pic:blipFill>
                                  <pic:spPr bwMode="auto">
                                    <a:xfrm>
                                      <a:off x="0" y="0"/>
                                      <a:ext cx="1666875" cy="342900"/>
                                    </a:xfrm>
                                    <a:prstGeom prst="rect">
                                      <a:avLst/>
                                    </a:prstGeom>
                                  </pic:spPr>
                                </pic:pic>
                              </a:graphicData>
                            </a:graphic>
                          </wp:inline>
                        </w:drawing>
                      </w: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3.png"/><Relationship Id="rId9" Type="http://schemas.openxmlformats.org/officeDocument/2006/relationships/image" Target="media/image3.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6.png"/><Relationship Id="rId13" Type="http://schemas.openxmlformats.org/officeDocument/2006/relationships/image" Target="media/image6.png"/><Relationship Id="rId14" Type="http://schemas.openxmlformats.org/officeDocument/2006/relationships/image" Target="media/image6.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99</Pages>
  <Words>34320</Words>
  <Characters>178156</Characters>
  <CharactersWithSpaces>213206</CharactersWithSpaces>
  <Paragraphs>1086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