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3" w:lineRule="exact"/>
        <w:rPr>
          <w:sz w:val="24"/>
          <w:szCs w:val="24"/>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Registration No. 333-273653</w:t>
      </w:r>
    </w:p>
    <w:p>
      <w:pPr>
        <w:spacing w:after="0" w:line="102"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PROSPECTUS SUPPLEMENT</w:t>
      </w:r>
    </w:p>
    <w:p>
      <w:pPr>
        <w:spacing w:after="0" w:line="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(To Prospectus dated August 3, 2023)</w:t>
      </w:r>
    </w:p>
    <w:p>
      <w:pPr>
        <w:spacing w:after="0" w:line="7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3006090</wp:posOffset>
            </wp:positionH>
            <wp:positionV relativeFrom="paragraph">
              <wp:posOffset>170815</wp:posOffset>
            </wp:positionV>
            <wp:extent cx="1156335" cy="458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6335" cy="458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8"/>
          <w:szCs w:val="28"/>
          <w:b w:val="1"/>
          <w:bCs w:val="1"/>
          <w:color w:val="auto"/>
        </w:rPr>
        <w:t>Xylem Inc.</w:t>
      </w:r>
    </w:p>
    <w:p>
      <w:pPr>
        <w:spacing w:after="0" w:line="18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$500,000,000 5.200% Senior Notes due 2033</w:t>
      </w:r>
    </w:p>
    <w:p>
      <w:pPr>
        <w:spacing w:after="0" w:line="2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2399BF"/>
        </w:rPr>
        <w:t>$500,000,000 5.450% Senior Blue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156845</wp:posOffset>
            </wp:positionV>
            <wp:extent cx="11430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88" w:lineRule="exact"/>
        <w:rPr>
          <w:sz w:val="24"/>
          <w:szCs w:val="24"/>
          <w:color w:val="auto"/>
        </w:rPr>
      </w:pPr>
    </w:p>
    <w:p>
      <w:pPr>
        <w:ind w:left="1380" w:right="319" w:firstLine="341"/>
        <w:spacing w:after="0" w:line="237" w:lineRule="auto"/>
        <w:rPr>
          <w:sz w:val="20"/>
          <w:szCs w:val="20"/>
          <w:color w:val="auto"/>
        </w:rPr>
      </w:pPr>
      <w:r>
        <w:rPr>
          <w:rFonts w:ascii="Times New Roman" w:cs="Times New Roman" w:eastAsia="Times New Roman" w:hAnsi="Times New Roman"/>
          <w:sz w:val="11"/>
          <w:szCs w:val="11"/>
          <w:color w:val="auto"/>
        </w:rPr>
        <w:t>We are offering $1,000,000,000 aggregate principal amount of notes, consisting of $500,000,000 aggregate principal amount of our 5.200% Senior Notes due 2033, which we refer to as the “2033 notes” and $500,000,000 aggregate principal amount of our 5.450% Senior Notes due 2036, which we refer to as the “ 2036 blue notes.” We refer to both series of the notes offered hereby collectively as the “notes.”</w:t>
      </w:r>
    </w:p>
    <w:p>
      <w:pPr>
        <w:spacing w:after="0" w:line="138" w:lineRule="exact"/>
        <w:rPr>
          <w:sz w:val="24"/>
          <w:szCs w:val="24"/>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1"/>
          <w:szCs w:val="11"/>
          <w:color w:val="auto"/>
        </w:rPr>
        <w:t>We will pay interest on the notes semi-annually on June 1 and December 1 of each year, commencing on December 1, 2026. The 2033 notes will bear interest at the rate of 5.200% per annum and the 2036 blue notes will bear interest at the rate of 5.450% per annum. The 2033 notes will mature on June 1, 2033 and the 2036 blue notes will mature on June 1, 2036.</w:t>
      </w:r>
    </w:p>
    <w:p>
      <w:pPr>
        <w:spacing w:after="0" w:line="130" w:lineRule="exact"/>
        <w:rPr>
          <w:sz w:val="24"/>
          <w:szCs w:val="24"/>
          <w:color w:val="auto"/>
        </w:rPr>
      </w:pPr>
    </w:p>
    <w:p>
      <w:pPr>
        <w:ind w:left="1380" w:right="439" w:firstLine="341"/>
        <w:spacing w:after="0" w:line="232" w:lineRule="auto"/>
        <w:rPr>
          <w:sz w:val="20"/>
          <w:szCs w:val="20"/>
          <w:color w:val="auto"/>
        </w:rPr>
      </w:pPr>
      <w:r>
        <w:rPr>
          <w:rFonts w:ascii="Times New Roman" w:cs="Times New Roman" w:eastAsia="Times New Roman" w:hAnsi="Times New Roman"/>
          <w:sz w:val="11"/>
          <w:szCs w:val="11"/>
          <w:color w:val="auto"/>
        </w:rPr>
        <w:t>We may redeem some or all of the notes of either series at any time and from time to time at the applicable redemption price described under “Description of Notes—Optional Redemption.” If we experience a change of control triggering event, as defined under the indenture governing the notes, each holder of note may require us to repurchase some or all of its notes at a purchase price equal to 101% of the aggregate principal amount of the notes repurchased, plus any accrued and unpaid interest up to, but not including, the repurchase date. See “Description of Notes—Repurchase Upon Change of Control Triggering Event.”</w:t>
      </w:r>
    </w:p>
    <w:p>
      <w:pPr>
        <w:spacing w:after="0" w:line="139" w:lineRule="exact"/>
        <w:rPr>
          <w:sz w:val="24"/>
          <w:szCs w:val="24"/>
          <w:color w:val="auto"/>
        </w:rPr>
      </w:pPr>
    </w:p>
    <w:p>
      <w:pPr>
        <w:ind w:left="1380" w:right="839" w:firstLine="341"/>
        <w:spacing w:after="0" w:line="254" w:lineRule="auto"/>
        <w:rPr>
          <w:sz w:val="20"/>
          <w:szCs w:val="20"/>
          <w:color w:val="auto"/>
        </w:rPr>
      </w:pPr>
      <w:r>
        <w:rPr>
          <w:rFonts w:ascii="Times New Roman" w:cs="Times New Roman" w:eastAsia="Times New Roman" w:hAnsi="Times New Roman"/>
          <w:sz w:val="11"/>
          <w:szCs w:val="11"/>
          <w:color w:val="auto"/>
        </w:rPr>
        <w:t>The notes will be our senior unsecured obligations and rank equally with our other unsecured and unsubordinated indebtedness. The notes will be issued only in minimum denominations of $2,000 and integral multiples of $1,000 in excess thereof.</w:t>
      </w:r>
    </w:p>
    <w:p>
      <w:pPr>
        <w:spacing w:after="0" w:line="130" w:lineRule="exact"/>
        <w:rPr>
          <w:sz w:val="24"/>
          <w:szCs w:val="24"/>
          <w:color w:val="auto"/>
        </w:rPr>
      </w:pPr>
    </w:p>
    <w:p>
      <w:pPr>
        <w:ind w:left="1380" w:right="299" w:firstLine="341"/>
        <w:spacing w:after="0" w:line="254" w:lineRule="auto"/>
        <w:rPr>
          <w:sz w:val="20"/>
          <w:szCs w:val="20"/>
          <w:color w:val="auto"/>
        </w:rPr>
      </w:pPr>
      <w:r>
        <w:rPr>
          <w:rFonts w:ascii="Times New Roman" w:cs="Times New Roman" w:eastAsia="Times New Roman" w:hAnsi="Times New Roman"/>
          <w:sz w:val="11"/>
          <w:szCs w:val="11"/>
          <w:color w:val="auto"/>
        </w:rPr>
        <w:t>The notes are new issues of securities with no established trading markets. We do not intend to apply to list either series of the notes on any securities exchange or to have the notes of either series quoted on any automated quotation system.</w:t>
      </w:r>
    </w:p>
    <w:p>
      <w:pPr>
        <w:spacing w:after="0" w:line="130" w:lineRule="exact"/>
        <w:rPr>
          <w:sz w:val="24"/>
          <w:szCs w:val="24"/>
          <w:color w:val="auto"/>
        </w:rPr>
      </w:pPr>
    </w:p>
    <w:p>
      <w:pPr>
        <w:ind w:left="1380" w:right="259" w:firstLine="341"/>
        <w:spacing w:after="0" w:line="237" w:lineRule="auto"/>
        <w:rPr>
          <w:sz w:val="20"/>
          <w:szCs w:val="20"/>
          <w:color w:val="auto"/>
        </w:rPr>
      </w:pPr>
      <w:r>
        <w:rPr>
          <w:rFonts w:ascii="Times New Roman" w:cs="Times New Roman" w:eastAsia="Times New Roman" w:hAnsi="Times New Roman"/>
          <w:sz w:val="11"/>
          <w:szCs w:val="11"/>
          <w:color w:val="auto"/>
        </w:rPr>
        <w:t>As described in “Use of Proceeds,” we will allocate an amount equal to the net proceeds from the sale of the 2036 blue notes to a portfolio of Eligible Blue Projects (as defined in “Use of Proceeds”). Pending allocation for such purposes, we intend to hold and/or invest the balance of net proceeds not yet allocated to the portfolio of Eligible Blue Projects in our treasury liquidity portfolio, or in cash or other short-term and liquid instruments.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111760</wp:posOffset>
            </wp:positionV>
            <wp:extent cx="11430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17" w:lineRule="exact"/>
        <w:rPr>
          <w:sz w:val="24"/>
          <w:szCs w:val="24"/>
          <w:color w:val="auto"/>
        </w:rPr>
      </w:pPr>
    </w:p>
    <w:p>
      <w:pPr>
        <w:ind w:left="1380" w:right="43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Investing in the notes involves risks. You should carefully read and consider the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xml:space="preserve"> included in this prospectus supplement beginning on page S-9 and included in our periodic reports and other information that we file with the Securities and Exchange Commission before you invest in the notes.</w:t>
      </w:r>
    </w:p>
    <w:p>
      <w:pPr>
        <w:spacing w:after="0" w:line="132" w:lineRule="exact"/>
        <w:rPr>
          <w:sz w:val="24"/>
          <w:szCs w:val="24"/>
          <w:color w:val="auto"/>
        </w:rPr>
      </w:pPr>
    </w:p>
    <w:p>
      <w:pPr>
        <w:ind w:left="1380" w:right="739" w:firstLine="341"/>
        <w:spacing w:after="0" w:line="258"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state securities commission has approved or disapproved of the notes or determined that this prospectus supplement or the accompanying prospectus is accurate or complete. Any representation to the contrary is a criminal offense.</w:t>
      </w:r>
    </w:p>
    <w:p>
      <w:pPr>
        <w:spacing w:after="0" w:line="46" w:lineRule="exact"/>
        <w:rPr>
          <w:sz w:val="24"/>
          <w:szCs w:val="24"/>
          <w:color w:val="auto"/>
        </w:rPr>
      </w:pPr>
    </w:p>
    <w:tbl>
      <w:tblPr>
        <w:tblLayout w:type="fixed"/>
        <w:tblInd w:w="20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2"/>
              </w:rPr>
              <w:t>Proceeds,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1"/>
              </w:rPr>
              <w:t>Before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60" w:type="dxa"/>
            <w:vAlign w:val="bottom"/>
            <w:gridSpan w:val="2"/>
          </w:tcPr>
          <w:p>
            <w:pPr>
              <w:jc w:val="right"/>
              <w:ind w:right="400"/>
              <w:spacing w:after="0" w:line="105" w:lineRule="exact"/>
              <w:rPr>
                <w:sz w:val="20"/>
                <w:szCs w:val="20"/>
                <w:color w:val="auto"/>
              </w:rPr>
            </w:pPr>
            <w:r>
              <w:rPr>
                <w:rFonts w:ascii="Times New Roman" w:cs="Times New Roman" w:eastAsia="Times New Roman" w:hAnsi="Times New Roman"/>
                <w:sz w:val="10"/>
                <w:szCs w:val="10"/>
                <w:b w:val="1"/>
                <w:bCs w:val="1"/>
                <w:color w:val="auto"/>
              </w:rPr>
              <w:t>Price to</w:t>
            </w:r>
          </w:p>
        </w:tc>
        <w:tc>
          <w:tcPr>
            <w:tcW w:w="980" w:type="dxa"/>
            <w:vAlign w:val="bottom"/>
            <w:gridSpan w:val="4"/>
          </w:tcPr>
          <w:p>
            <w:pPr>
              <w:ind w:left="160"/>
              <w:spacing w:after="0" w:line="105" w:lineRule="exact"/>
              <w:rPr>
                <w:sz w:val="20"/>
                <w:szCs w:val="20"/>
                <w:color w:val="auto"/>
              </w:rPr>
            </w:pPr>
            <w:r>
              <w:rPr>
                <w:rFonts w:ascii="Times New Roman" w:cs="Times New Roman" w:eastAsia="Times New Roman" w:hAnsi="Times New Roman"/>
                <w:sz w:val="10"/>
                <w:szCs w:val="10"/>
                <w:b w:val="1"/>
                <w:bCs w:val="1"/>
                <w:color w:val="auto"/>
              </w:rPr>
              <w:t>Underwriting</w:t>
            </w:r>
          </w:p>
        </w:tc>
        <w:tc>
          <w:tcPr>
            <w:tcW w:w="160" w:type="dxa"/>
            <w:vAlign w:val="bottom"/>
          </w:tcPr>
          <w:p>
            <w:pPr>
              <w:spacing w:after="0"/>
              <w:rPr>
                <w:sz w:val="9"/>
                <w:szCs w:val="9"/>
                <w:color w:val="auto"/>
              </w:rPr>
            </w:pPr>
          </w:p>
        </w:tc>
        <w:tc>
          <w:tcPr>
            <w:tcW w:w="76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9"/>
              </w:rPr>
              <w:t>Expenses,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460" w:type="dxa"/>
            <w:vAlign w:val="bottom"/>
            <w:tcBorders>
              <w:bottom w:val="single" w:sz="8" w:color="CCEEFF"/>
            </w:tcBorders>
          </w:tcPr>
          <w:p>
            <w:pPr>
              <w:spacing w:after="0"/>
              <w:rPr>
                <w:sz w:val="10"/>
                <w:szCs w:val="10"/>
                <w:color w:val="auto"/>
              </w:rPr>
            </w:pPr>
          </w:p>
        </w:tc>
        <w:tc>
          <w:tcPr>
            <w:tcW w:w="172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Public (1)</w:t>
            </w:r>
          </w:p>
        </w:tc>
        <w:tc>
          <w:tcPr>
            <w:tcW w:w="2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w w:val="95"/>
              </w:rPr>
              <w:t>Discount</w:t>
            </w:r>
          </w:p>
        </w:tc>
        <w:tc>
          <w:tcPr>
            <w:tcW w:w="2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to us (1)</w:t>
            </w: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8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Per 2033 Note</w:t>
            </w:r>
          </w:p>
        </w:tc>
        <w:tc>
          <w:tcPr>
            <w:tcW w:w="17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1"/>
                <w:szCs w:val="11"/>
                <w:color w:val="auto"/>
              </w:rPr>
              <w:t>99.808%</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1"/>
                <w:szCs w:val="11"/>
                <w:color w:val="auto"/>
              </w:rPr>
              <w:t>0.625%</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1"/>
                <w:szCs w:val="11"/>
                <w:color w:val="auto"/>
              </w:rPr>
              <w:t>99.183%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w w:val="90"/>
              </w:rPr>
              <w:t>2033</w:t>
            </w:r>
          </w:p>
        </w:tc>
        <w:tc>
          <w:tcPr>
            <w:tcW w:w="246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Notes Total</w:t>
            </w:r>
          </w:p>
        </w:tc>
        <w:tc>
          <w:tcPr>
            <w:tcW w:w="23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$ 499,040,000</w:t>
            </w:r>
          </w:p>
        </w:tc>
        <w:tc>
          <w:tcPr>
            <w:tcW w:w="240" w:type="dxa"/>
            <w:vAlign w:val="bottom"/>
          </w:tcPr>
          <w:p>
            <w:pPr>
              <w:spacing w:after="0"/>
              <w:rPr>
                <w:sz w:val="10"/>
                <w:szCs w:val="10"/>
                <w:color w:val="auto"/>
              </w:rPr>
            </w:pPr>
          </w:p>
        </w:tc>
        <w:tc>
          <w:tcPr>
            <w:tcW w:w="24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3,125,000</w:t>
            </w:r>
          </w:p>
        </w:tc>
        <w:tc>
          <w:tcPr>
            <w:tcW w:w="240" w:type="dxa"/>
            <w:vAlign w:val="bottom"/>
          </w:tcPr>
          <w:p>
            <w:pPr>
              <w:spacing w:after="0"/>
              <w:rPr>
                <w:sz w:val="10"/>
                <w:szCs w:val="10"/>
                <w:color w:val="auto"/>
              </w:rPr>
            </w:pPr>
          </w:p>
        </w:tc>
        <w:tc>
          <w:tcPr>
            <w:tcW w:w="7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$ 495,915,000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Per 2036 Blue Note</w:t>
            </w:r>
          </w:p>
        </w:tc>
        <w:tc>
          <w:tcPr>
            <w:tcW w:w="2580" w:type="dxa"/>
            <w:vAlign w:val="bottom"/>
            <w:gridSpan w:val="3"/>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99.977%</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0.650%</w:t>
            </w:r>
          </w:p>
        </w:tc>
        <w:tc>
          <w:tcPr>
            <w:tcW w:w="920" w:type="dxa"/>
            <w:vAlign w:val="bottom"/>
            <w:gridSpan w:val="3"/>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99.327%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w w:val="90"/>
              </w:rPr>
              <w:t>2036</w:t>
            </w:r>
          </w:p>
        </w:tc>
        <w:tc>
          <w:tcPr>
            <w:tcW w:w="246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Blue Notes Total</w:t>
            </w:r>
          </w:p>
        </w:tc>
        <w:tc>
          <w:tcPr>
            <w:tcW w:w="23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$ 499,885,000</w:t>
            </w:r>
          </w:p>
        </w:tc>
        <w:tc>
          <w:tcPr>
            <w:tcW w:w="240" w:type="dxa"/>
            <w:vAlign w:val="bottom"/>
          </w:tcPr>
          <w:p>
            <w:pPr>
              <w:spacing w:after="0"/>
              <w:rPr>
                <w:sz w:val="10"/>
                <w:szCs w:val="10"/>
                <w:color w:val="auto"/>
              </w:rPr>
            </w:pPr>
          </w:p>
        </w:tc>
        <w:tc>
          <w:tcPr>
            <w:tcW w:w="24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3,250,000</w:t>
            </w:r>
          </w:p>
        </w:tc>
        <w:tc>
          <w:tcPr>
            <w:tcW w:w="240" w:type="dxa"/>
            <w:vAlign w:val="bottom"/>
          </w:tcPr>
          <w:p>
            <w:pPr>
              <w:spacing w:after="0"/>
              <w:rPr>
                <w:sz w:val="10"/>
                <w:szCs w:val="10"/>
                <w:color w:val="auto"/>
              </w:rPr>
            </w:pPr>
          </w:p>
        </w:tc>
        <w:tc>
          <w:tcPr>
            <w:tcW w:w="7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$ 496,635,000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2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w w:val="85"/>
              </w:rPr>
              <w:t>Total</w:t>
            </w:r>
          </w:p>
        </w:tc>
        <w:tc>
          <w:tcPr>
            <w:tcW w:w="2460" w:type="dxa"/>
            <w:vAlign w:val="bottom"/>
            <w:shd w:val="clear" w:color="auto" w:fill="CCEEFF"/>
          </w:tcPr>
          <w:p>
            <w:pPr>
              <w:spacing w:after="0"/>
              <w:rPr>
                <w:sz w:val="10"/>
                <w:szCs w:val="10"/>
                <w:color w:val="auto"/>
              </w:rPr>
            </w:pPr>
          </w:p>
        </w:tc>
        <w:tc>
          <w:tcPr>
            <w:tcW w:w="234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$ 998,925,000</w:t>
            </w:r>
          </w:p>
        </w:tc>
        <w:tc>
          <w:tcPr>
            <w:tcW w:w="240" w:type="dxa"/>
            <w:vAlign w:val="bottom"/>
            <w:shd w:val="clear" w:color="auto" w:fill="CCEEFF"/>
          </w:tcPr>
          <w:p>
            <w:pPr>
              <w:spacing w:after="0"/>
              <w:rPr>
                <w:sz w:val="10"/>
                <w:szCs w:val="10"/>
                <w:color w:val="auto"/>
              </w:rPr>
            </w:pPr>
          </w:p>
        </w:tc>
        <w:tc>
          <w:tcPr>
            <w:tcW w:w="240" w:type="dxa"/>
            <w:vAlign w:val="bottom"/>
            <w:gridSpan w:val="2"/>
            <w:shd w:val="clear" w:color="auto" w:fill="CCEEFF"/>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6,375,000</w:t>
            </w:r>
          </w:p>
        </w:tc>
        <w:tc>
          <w:tcPr>
            <w:tcW w:w="2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$ 992,550,000</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873125</wp:posOffset>
            </wp:positionH>
            <wp:positionV relativeFrom="paragraph">
              <wp:posOffset>73025</wp:posOffset>
            </wp:positionV>
            <wp:extent cx="5981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20" w:lineRule="exact"/>
        <w:rPr>
          <w:sz w:val="24"/>
          <w:szCs w:val="24"/>
          <w:color w:val="auto"/>
        </w:rPr>
      </w:pPr>
    </w:p>
    <w:p>
      <w:pPr>
        <w:ind w:left="1700" w:hanging="325"/>
        <w:spacing w:after="0"/>
        <w:tabs>
          <w:tab w:leader="none" w:pos="17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Plus accrued interest, if any, from May 29, 2026, if settlement occurs after that date.</w:t>
      </w:r>
    </w:p>
    <w:p>
      <w:pPr>
        <w:spacing w:after="0" w:line="156" w:lineRule="exact"/>
        <w:rPr>
          <w:sz w:val="24"/>
          <w:szCs w:val="24"/>
          <w:color w:val="auto"/>
        </w:rPr>
      </w:pPr>
    </w:p>
    <w:p>
      <w:pPr>
        <w:ind w:left="1380" w:right="519" w:firstLine="341"/>
        <w:spacing w:after="0" w:line="254" w:lineRule="auto"/>
        <w:rPr>
          <w:sz w:val="20"/>
          <w:szCs w:val="20"/>
          <w:color w:val="auto"/>
        </w:rPr>
      </w:pPr>
      <w:r>
        <w:rPr>
          <w:rFonts w:ascii="Times New Roman" w:cs="Times New Roman" w:eastAsia="Times New Roman" w:hAnsi="Times New Roman"/>
          <w:sz w:val="11"/>
          <w:szCs w:val="11"/>
          <w:color w:val="auto"/>
        </w:rPr>
        <w:t xml:space="preserve">The underwriters expect to deliver the notes in book-entry form only through the facilities of The Depository Trust Company and its participants, including Clearstream Banking, </w:t>
      </w:r>
      <w:r>
        <w:rPr>
          <w:rFonts w:ascii="Times New Roman" w:cs="Times New Roman" w:eastAsia="Times New Roman" w:hAnsi="Times New Roman"/>
          <w:sz w:val="11"/>
          <w:szCs w:val="11"/>
          <w:i w:val="1"/>
          <w:iCs w:val="1"/>
          <w:color w:val="auto"/>
        </w:rPr>
        <w:t xml:space="preserve">société anonyme </w:t>
      </w:r>
      <w:r>
        <w:rPr>
          <w:rFonts w:ascii="Times New Roman" w:cs="Times New Roman" w:eastAsia="Times New Roman" w:hAnsi="Times New Roman"/>
          <w:sz w:val="11"/>
          <w:szCs w:val="11"/>
          <w:color w:val="auto"/>
        </w:rPr>
        <w:t>and Euroclear Bank S.A./N.V., on or about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160020</wp:posOffset>
            </wp:positionV>
            <wp:extent cx="11430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9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ectPr>
          <w:pgSz w:w="11900" w:h="16838" w:orient="portrait"/>
          <w:cols w:equalWidth="0" w:num="1">
            <w:col w:w="10159"/>
          </w:cols>
          <w:pgMar w:left="300" w:top="207" w:right="1440" w:bottom="1440" w:gutter="0" w:footer="0" w:header="0"/>
        </w:sectPr>
      </w:pPr>
    </w:p>
    <w:p>
      <w:pPr>
        <w:spacing w:after="0" w:line="195"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BNP PARIBAS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Citigroup</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      ING    </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J.P. Morgan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Wells Fargo Securities</w:t>
      </w:r>
    </w:p>
    <w:p>
      <w:pPr>
        <w:spacing w:after="0" w:line="185" w:lineRule="exact"/>
        <w:rPr>
          <w:sz w:val="24"/>
          <w:szCs w:val="24"/>
          <w:color w:val="auto"/>
        </w:rPr>
      </w:pPr>
    </w:p>
    <w:p>
      <w:pPr>
        <w:sectPr>
          <w:pgSz w:w="11900" w:h="16838" w:orient="portrait"/>
          <w:cols w:equalWidth="0" w:num="5">
            <w:col w:w="2500" w:space="720"/>
            <w:col w:w="720" w:space="720"/>
            <w:col w:w="960" w:space="720"/>
            <w:col w:w="1520" w:space="720"/>
            <w:col w:w="1579"/>
          </w:cols>
          <w:pgMar w:left="300" w:top="207" w:right="1440"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ectPr>
          <w:pgSz w:w="11900" w:h="16838" w:orient="portrait"/>
          <w:cols w:equalWidth="0" w:num="1">
            <w:col w:w="10159"/>
          </w:cols>
          <w:pgMar w:left="300" w:top="207" w:right="1440" w:bottom="1440" w:gutter="0" w:footer="0" w:header="0"/>
          <w:type w:val="continuous"/>
        </w:sectPr>
      </w:pPr>
    </w:p>
    <w:p>
      <w:pPr>
        <w:spacing w:after="0" w:line="195" w:lineRule="exact"/>
        <w:rPr>
          <w:sz w:val="24"/>
          <w:szCs w:val="24"/>
          <w:color w:val="auto"/>
        </w:rPr>
      </w:pPr>
    </w:p>
    <w:p>
      <w:pPr>
        <w:ind w:left="1860" w:firstLine="647"/>
        <w:spacing w:after="0" w:line="315" w:lineRule="auto"/>
        <w:rPr>
          <w:sz w:val="20"/>
          <w:szCs w:val="20"/>
          <w:color w:val="auto"/>
        </w:rPr>
      </w:pPr>
      <w:r>
        <w:rPr>
          <w:rFonts w:ascii="Times New Roman" w:cs="Times New Roman" w:eastAsia="Times New Roman" w:hAnsi="Times New Roman"/>
          <w:sz w:val="14"/>
          <w:szCs w:val="14"/>
          <w:b w:val="1"/>
          <w:bCs w:val="1"/>
          <w:color w:val="auto"/>
        </w:rPr>
        <w:t>Deutsche Bank Securities ANZ Securities</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SEB</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TD Securities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US Bancorp</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Siebert Williams Shank</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Academy Securities</w:t>
      </w:r>
    </w:p>
    <w:p>
      <w:pPr>
        <w:spacing w:after="0" w:line="171" w:lineRule="exact"/>
        <w:rPr>
          <w:sz w:val="24"/>
          <w:szCs w:val="24"/>
          <w:color w:val="auto"/>
        </w:rPr>
      </w:pPr>
    </w:p>
    <w:p>
      <w:pPr>
        <w:sectPr>
          <w:pgSz w:w="11900" w:h="16838" w:orient="portrait"/>
          <w:cols w:equalWidth="0" w:num="5">
            <w:col w:w="4020" w:space="260"/>
            <w:col w:w="260" w:space="660"/>
            <w:col w:w="880" w:space="720"/>
            <w:col w:w="1700" w:space="240"/>
            <w:col w:w="1419"/>
          </w:cols>
          <w:pgMar w:left="300" w:top="207" w:right="1440" w:bottom="1440" w:gutter="0" w:footer="0" w:header="0"/>
          <w:type w:val="continuous"/>
        </w:sectPr>
      </w:pPr>
    </w:p>
    <w:p>
      <w:pPr>
        <w:ind w:left="4320"/>
        <w:spacing w:after="0"/>
        <w:rPr>
          <w:sz w:val="20"/>
          <w:szCs w:val="20"/>
          <w:color w:val="auto"/>
        </w:rPr>
      </w:pPr>
      <w:r>
        <w:rPr>
          <w:rFonts w:ascii="Times New Roman" w:cs="Times New Roman" w:eastAsia="Times New Roman" w:hAnsi="Times New Roman"/>
          <w:sz w:val="11"/>
          <w:szCs w:val="11"/>
          <w:b w:val="1"/>
          <w:bCs w:val="1"/>
          <w:color w:val="auto"/>
        </w:rPr>
        <w:t>The date of this prospectus supplement is May 19, 2026.</w:t>
      </w:r>
    </w:p>
    <w:p>
      <w:pPr>
        <w:sectPr>
          <w:pgSz w:w="11900" w:h="16838" w:orient="portrait"/>
          <w:cols w:equalWidth="0" w:num="1">
            <w:col w:w="10159"/>
          </w:cols>
          <w:pgMar w:left="300" w:top="207"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00" w:type="dxa"/>
            <w:vAlign w:val="bottom"/>
            <w:gridSpan w:val="2"/>
          </w:tcPr>
          <w:p>
            <w:pPr>
              <w:jc w:val="right"/>
              <w:ind w:right="3411"/>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03"/>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1"/>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00" w:type="dxa"/>
            <w:vAlign w:val="bottom"/>
            <w:gridSpan w:val="2"/>
          </w:tcPr>
          <w:p>
            <w:pPr>
              <w:jc w:val="right"/>
              <w:ind w:right="3491"/>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r>
      <w:tr>
        <w:trPr>
          <w:trHeight w:val="303"/>
        </w:trPr>
        <w:tc>
          <w:tcPr>
            <w:tcW w:w="340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4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w:t>
            </w: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7"/>
        </w:trPr>
        <w:tc>
          <w:tcPr>
            <w:tcW w:w="2220" w:type="dxa"/>
            <w:vAlign w:val="bottom"/>
            <w:tcBorders>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1180" w:type="dxa"/>
            <w:vAlign w:val="bottom"/>
            <w:gridSpan w:val="3"/>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w:t>
            </w: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w:t>
            </w: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7"/>
        </w:trPr>
        <w:tc>
          <w:tcPr>
            <w:tcW w:w="164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8"/>
              </w:rPr>
              <w:t>Forward-Looking Statements</w:t>
            </w:r>
          </w:p>
        </w:tc>
        <w:tc>
          <w:tcPr>
            <w:tcW w:w="1760" w:type="dxa"/>
            <w:vAlign w:val="bottom"/>
            <w:gridSpan w:val="8"/>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S-3</w:t>
            </w:r>
          </w:p>
        </w:tc>
      </w:tr>
      <w:tr>
        <w:trPr>
          <w:trHeight w:val="147"/>
        </w:trPr>
        <w:tc>
          <w:tcPr>
            <w:tcW w:w="54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5"/>
              </w:rPr>
              <w:t>Summary</w:t>
            </w:r>
          </w:p>
        </w:tc>
        <w:tc>
          <w:tcPr>
            <w:tcW w:w="2860" w:type="dxa"/>
            <w:vAlign w:val="bottom"/>
            <w:gridSpan w:val="18"/>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S-5</w:t>
            </w:r>
          </w:p>
        </w:tc>
      </w:tr>
      <w:tr>
        <w:trPr>
          <w:trHeight w:val="147"/>
        </w:trPr>
        <w:tc>
          <w:tcPr>
            <w:tcW w:w="70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6"/>
              </w:rPr>
              <w:t>Risk Factors</w:t>
            </w:r>
          </w:p>
        </w:tc>
        <w:tc>
          <w:tcPr>
            <w:tcW w:w="2700" w:type="dxa"/>
            <w:vAlign w:val="bottom"/>
            <w:gridSpan w:val="17"/>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S-9</w:t>
            </w: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S-13</w:t>
            </w:r>
          </w:p>
        </w:tc>
      </w:tr>
      <w:tr>
        <w:trPr>
          <w:trHeight w:val="147"/>
        </w:trPr>
        <w:tc>
          <w:tcPr>
            <w:tcW w:w="800" w:type="dxa"/>
            <w:vAlign w:val="bottom"/>
            <w:tcBorders>
              <w:top w:val="single" w:sz="8" w:color="0000EE"/>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9"/>
              </w:rPr>
              <w:t>Capitalization</w:t>
            </w:r>
          </w:p>
        </w:tc>
        <w:tc>
          <w:tcPr>
            <w:tcW w:w="100" w:type="dxa"/>
            <w:vAlign w:val="bottom"/>
            <w:tcBorders>
              <w:top w:val="single" w:sz="8" w:color="0000EE"/>
            </w:tcBorders>
          </w:tcPr>
          <w:p>
            <w:pPr>
              <w:spacing w:after="0"/>
              <w:rPr>
                <w:sz w:val="12"/>
                <w:szCs w:val="12"/>
                <w:color w:val="auto"/>
              </w:rPr>
            </w:pPr>
          </w:p>
        </w:tc>
        <w:tc>
          <w:tcPr>
            <w:tcW w:w="2500" w:type="dxa"/>
            <w:vAlign w:val="bottom"/>
            <w:gridSpan w:val="13"/>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S-15</w:t>
            </w:r>
          </w:p>
        </w:tc>
      </w:tr>
      <w:tr>
        <w:trPr>
          <w:trHeight w:val="147"/>
        </w:trPr>
        <w:tc>
          <w:tcPr>
            <w:tcW w:w="116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Notes</w:t>
            </w:r>
          </w:p>
        </w:tc>
        <w:tc>
          <w:tcPr>
            <w:tcW w:w="2240" w:type="dxa"/>
            <w:vAlign w:val="bottom"/>
            <w:gridSpan w:val="11"/>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S-16</w:t>
            </w: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Material United States Federal Income Tax Considerations</w:t>
            </w: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S-25</w:t>
            </w:r>
          </w:p>
        </w:tc>
      </w:tr>
      <w:tr>
        <w:trPr>
          <w:trHeight w:val="147"/>
        </w:trPr>
        <w:tc>
          <w:tcPr>
            <w:tcW w:w="3260" w:type="dxa"/>
            <w:vAlign w:val="bottom"/>
            <w:tcBorders>
              <w:top w:val="single" w:sz="8" w:color="0000EE"/>
            </w:tcBorders>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Underwriting</w:t>
            </w:r>
          </w:p>
        </w:tc>
        <w:tc>
          <w:tcPr>
            <w:tcW w:w="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S-30</w:t>
            </w:r>
          </w:p>
        </w:tc>
      </w:tr>
      <w:tr>
        <w:trPr>
          <w:trHeight w:val="20"/>
        </w:trPr>
        <w:tc>
          <w:tcPr>
            <w:tcW w:w="4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7"/>
        </w:trPr>
        <w:tc>
          <w:tcPr>
            <w:tcW w:w="78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2620" w:type="dxa"/>
            <w:vAlign w:val="bottom"/>
            <w:gridSpan w:val="15"/>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S-37</w:t>
            </w: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47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S-37</w:t>
            </w:r>
          </w:p>
        </w:tc>
      </w:tr>
      <w:tr>
        <w:trPr>
          <w:trHeight w:val="514"/>
        </w:trPr>
        <w:tc>
          <w:tcPr>
            <w:tcW w:w="4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00" w:type="dxa"/>
            <w:vAlign w:val="bottom"/>
            <w:gridSpan w:val="2"/>
          </w:tcPr>
          <w:p>
            <w:pPr>
              <w:jc w:val="right"/>
              <w:ind w:right="3871"/>
              <w:spacing w:after="0"/>
              <w:rPr>
                <w:sz w:val="20"/>
                <w:szCs w:val="20"/>
                <w:color w:val="auto"/>
              </w:rPr>
            </w:pPr>
            <w:r>
              <w:rPr>
                <w:rFonts w:ascii="Times New Roman" w:cs="Times New Roman" w:eastAsia="Times New Roman" w:hAnsi="Times New Roman"/>
                <w:sz w:val="14"/>
                <w:szCs w:val="14"/>
                <w:b w:val="1"/>
                <w:bCs w:val="1"/>
                <w:color w:val="auto"/>
              </w:rPr>
              <w:t>Prospectus</w:t>
            </w:r>
          </w:p>
        </w:tc>
      </w:tr>
      <w:tr>
        <w:trPr>
          <w:trHeight w:val="303"/>
        </w:trPr>
        <w:tc>
          <w:tcPr>
            <w:tcW w:w="340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147"/>
        </w:trPr>
        <w:tc>
          <w:tcPr>
            <w:tcW w:w="2220" w:type="dxa"/>
            <w:vAlign w:val="bottom"/>
            <w:tcBorders>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1180" w:type="dxa"/>
            <w:vAlign w:val="bottom"/>
            <w:gridSpan w:val="3"/>
          </w:tcPr>
          <w:p>
            <w:pPr>
              <w:spacing w:after="0"/>
              <w:rPr>
                <w:sz w:val="12"/>
                <w:szCs w:val="12"/>
                <w:color w:val="auto"/>
              </w:rPr>
            </w:pP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w:t>
            </w:r>
          </w:p>
        </w:tc>
      </w:tr>
      <w:tr>
        <w:trPr>
          <w:trHeight w:val="147"/>
        </w:trPr>
        <w:tc>
          <w:tcPr>
            <w:tcW w:w="1260" w:type="dxa"/>
            <w:vAlign w:val="bottom"/>
            <w:tcBorders>
              <w:top w:val="single" w:sz="8" w:color="0000EE"/>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About the Registrant.</w:t>
            </w:r>
          </w:p>
        </w:tc>
        <w:tc>
          <w:tcPr>
            <w:tcW w:w="1740" w:type="dxa"/>
            <w:vAlign w:val="bottom"/>
            <w:tcBorders>
              <w:top w:val="single" w:sz="8" w:color="0000EE"/>
            </w:tcBorders>
            <w:gridSpan w:val="8"/>
          </w:tcPr>
          <w:p>
            <w:pPr>
              <w:spacing w:after="0"/>
              <w:rPr>
                <w:sz w:val="12"/>
                <w:szCs w:val="12"/>
                <w:color w:val="auto"/>
              </w:rPr>
            </w:pPr>
          </w:p>
        </w:tc>
        <w:tc>
          <w:tcPr>
            <w:tcW w:w="400" w:type="dxa"/>
            <w:vAlign w:val="bottom"/>
            <w:gridSpan w:val="2"/>
          </w:tcPr>
          <w:p>
            <w:pPr>
              <w:spacing w:after="0"/>
              <w:rPr>
                <w:sz w:val="12"/>
                <w:szCs w:val="12"/>
                <w:color w:val="auto"/>
              </w:rPr>
            </w:pP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7"/>
        </w:trPr>
        <w:tc>
          <w:tcPr>
            <w:tcW w:w="70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6"/>
              </w:rPr>
              <w:t>Risk Factors</w:t>
            </w:r>
          </w:p>
        </w:tc>
        <w:tc>
          <w:tcPr>
            <w:tcW w:w="2700" w:type="dxa"/>
            <w:vAlign w:val="bottom"/>
            <w:gridSpan w:val="17"/>
          </w:tcPr>
          <w:p>
            <w:pPr>
              <w:spacing w:after="0"/>
              <w:rPr>
                <w:sz w:val="12"/>
                <w:szCs w:val="12"/>
                <w:color w:val="auto"/>
              </w:rPr>
            </w:pP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420" w:type="dxa"/>
            <w:vAlign w:val="bottom"/>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Common Stock</w:t>
            </w: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20"/>
        </w:trPr>
        <w:tc>
          <w:tcPr>
            <w:tcW w:w="420" w:type="dxa"/>
            <w:vAlign w:val="bottom"/>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147"/>
        </w:trPr>
        <w:tc>
          <w:tcPr>
            <w:tcW w:w="1740" w:type="dxa"/>
            <w:vAlign w:val="bottom"/>
            <w:tcBorders>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Other Securities</w:t>
            </w:r>
          </w:p>
        </w:tc>
        <w:tc>
          <w:tcPr>
            <w:tcW w:w="1660" w:type="dxa"/>
            <w:vAlign w:val="bottom"/>
            <w:gridSpan w:val="5"/>
          </w:tcPr>
          <w:p>
            <w:pPr>
              <w:spacing w:after="0"/>
              <w:rPr>
                <w:sz w:val="12"/>
                <w:szCs w:val="12"/>
                <w:color w:val="auto"/>
              </w:rPr>
            </w:pP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r>
        <w:trPr>
          <w:trHeight w:val="147"/>
        </w:trPr>
        <w:tc>
          <w:tcPr>
            <w:tcW w:w="780" w:type="dxa"/>
            <w:vAlign w:val="bottom"/>
            <w:tcBorders>
              <w:top w:val="single" w:sz="8" w:color="0000EE"/>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3"/>
          </w:tcPr>
          <w:p>
            <w:pPr>
              <w:spacing w:after="0"/>
              <w:rPr>
                <w:sz w:val="12"/>
                <w:szCs w:val="12"/>
                <w:color w:val="auto"/>
              </w:rPr>
            </w:pPr>
          </w:p>
        </w:tc>
        <w:tc>
          <w:tcPr>
            <w:tcW w:w="2300" w:type="dxa"/>
            <w:vAlign w:val="bottom"/>
            <w:gridSpan w:val="12"/>
          </w:tcPr>
          <w:p>
            <w:pPr>
              <w:spacing w:after="0"/>
              <w:rPr>
                <w:sz w:val="12"/>
                <w:szCs w:val="12"/>
                <w:color w:val="auto"/>
              </w:rPr>
            </w:pP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7"/>
        </w:trPr>
        <w:tc>
          <w:tcPr>
            <w:tcW w:w="34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51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6" w:lineRule="exact"/>
        <w:rPr>
          <w:sz w:val="20"/>
          <w:szCs w:val="20"/>
          <w:color w:val="auto"/>
        </w:rPr>
      </w:pPr>
    </w:p>
    <w:p>
      <w:pPr>
        <w:ind w:left="1380" w:right="319" w:firstLine="341"/>
        <w:spacing w:after="0" w:line="265"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terms of the offering of the notes. The second part is the accompanying prospectus dated August 3, 2023, which we refer to as the “accompanying prospectus.” The accompanying prospectus contains a general description of our debt securities and other general information, some of which may not apply to the notes.</w:t>
      </w:r>
    </w:p>
    <w:p>
      <w:pPr>
        <w:spacing w:after="0" w:line="136" w:lineRule="exact"/>
        <w:rPr>
          <w:sz w:val="20"/>
          <w:szCs w:val="20"/>
          <w:color w:val="auto"/>
        </w:rPr>
      </w:pPr>
    </w:p>
    <w:p>
      <w:pPr>
        <w:ind w:left="1380" w:right="299" w:firstLine="341"/>
        <w:spacing w:after="0" w:line="252" w:lineRule="auto"/>
        <w:rPr>
          <w:sz w:val="20"/>
          <w:szCs w:val="20"/>
          <w:color w:val="auto"/>
        </w:rPr>
      </w:pPr>
      <w:r>
        <w:rPr>
          <w:rFonts w:ascii="Times New Roman" w:cs="Times New Roman" w:eastAsia="Times New Roman" w:hAnsi="Times New Roman"/>
          <w:sz w:val="14"/>
          <w:szCs w:val="14"/>
          <w:color w:val="auto"/>
        </w:rPr>
        <w:t>We are responsible for the information contained in or incorporated by reference in this prospectus supplement, the accompanying prospectus and in any related free writing prospectus we prepare or authorize. We have not, and the underwriters have not, authorized anyone to give you any other information, and neither we nor the underwriters take responsibility for any other information that others may give you. The notes are offered globally for sale only in those jurisdictions where it is lawful to make such offers. We are not, and the underwriters are not, making an offer of these securities in any jurisdiction where the offer or sale is not permitted.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to sell or the solicitation of an offer to buy (i) by any person in any jurisdiction in which such offer or solicitation is not authorized or in which the person making such offer or solicitation is not authorized or qualified to make such offer or solicitation or (ii) to any person to whom it is unlawful to make such offer or solicitation. See “Underwriting” in this prospectus supplement. You should not assume that the information provided by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48"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Before you invest in the notes, you should carefully read the registration statement (including the exhibits thereto) of which this prospectus supplement and the accompanying prospectus form a part, this prospectus supplement, the accompanying prospectus and the documents incorporated by reference into this prospectus supplement and the accompanying prospectus. The incorporated documents are described in this prospectus supplement under “Where You Can Find More Information.”</w:t>
      </w:r>
    </w:p>
    <w:p>
      <w:pPr>
        <w:spacing w:after="0" w:line="140" w:lineRule="exact"/>
        <w:rPr>
          <w:sz w:val="20"/>
          <w:szCs w:val="20"/>
          <w:color w:val="auto"/>
        </w:rPr>
      </w:pPr>
    </w:p>
    <w:p>
      <w:pPr>
        <w:ind w:left="1380" w:right="519" w:firstLine="341"/>
        <w:spacing w:after="0" w:line="281"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references in this prospectus to “Xylem,” the “Company,” “we,” “us,” and “our” refer to Xylem Inc. and its consolidated subsidiaries.</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6" w:lineRule="exact"/>
        <w:rPr>
          <w:sz w:val="20"/>
          <w:szCs w:val="20"/>
          <w:color w:val="auto"/>
        </w:rPr>
      </w:pPr>
    </w:p>
    <w:p>
      <w:pPr>
        <w:ind w:left="1380" w:right="359" w:firstLine="341"/>
        <w:spacing w:after="0" w:line="255" w:lineRule="auto"/>
        <w:rPr>
          <w:sz w:val="20"/>
          <w:szCs w:val="20"/>
          <w:color w:val="auto"/>
        </w:rPr>
      </w:pPr>
      <w:r>
        <w:rPr>
          <w:rFonts w:ascii="Times New Roman" w:cs="Times New Roman" w:eastAsia="Times New Roman" w:hAnsi="Times New Roman"/>
          <w:sz w:val="14"/>
          <w:szCs w:val="14"/>
          <w:color w:val="auto"/>
        </w:rPr>
        <w:t>We file annual reports on Form 10-K, quarterly reports on Form 10-Q, current reports on Form 8-K, proxy and information statements and other information with the Securities and Exchange Commission (the “SEC”). The SEC maintains a website at www.sec.gov that contains reports, proxy and information statements and other information regarding Xylem Inc. and other companies that file materials with the SEC electronically. Copies of our periodic and current reports and proxy statements may be obtained, free of charge, on the “Investors” section of our website at http://www.xylem.com. This reference to our website is for informational purposes only and shall not, under any circumstances, be deemed to incorporate the information available at or through such website into this prospectus supplement or the accompanying prospectus.</w:t>
      </w:r>
    </w:p>
    <w:p>
      <w:pPr>
        <w:spacing w:after="0" w:line="3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6" w:lineRule="exact"/>
        <w:rPr>
          <w:sz w:val="20"/>
          <w:szCs w:val="20"/>
          <w:color w:val="auto"/>
        </w:rPr>
      </w:pPr>
    </w:p>
    <w:p>
      <w:pPr>
        <w:ind w:left="1380" w:right="379" w:firstLine="341"/>
        <w:spacing w:after="0" w:line="295" w:lineRule="auto"/>
        <w:rPr>
          <w:sz w:val="20"/>
          <w:szCs w:val="20"/>
          <w:color w:val="auto"/>
        </w:rPr>
      </w:pPr>
      <w:r>
        <w:rPr>
          <w:rFonts w:ascii="Times New Roman" w:cs="Times New Roman" w:eastAsia="Times New Roman" w:hAnsi="Times New Roman"/>
          <w:sz w:val="13"/>
          <w:szCs w:val="13"/>
          <w:color w:val="auto"/>
        </w:rPr>
        <w:t>The SEC allows us to “incorporate by reference” documents we file with the SEC into this prospectus supplement, which means that we can disclose important information to you by referring to those documents. The information incorporated by reference is considered part of this prospectus supplement. Any statement in this prospectus supplement or incorporated by reference into this prospectus supplement shall be automatically</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380" w:right="379"/>
        <w:spacing w:after="0" w:line="295" w:lineRule="auto"/>
        <w:rPr>
          <w:sz w:val="20"/>
          <w:szCs w:val="20"/>
          <w:color w:val="auto"/>
        </w:rPr>
      </w:pPr>
      <w:r>
        <w:rPr>
          <w:rFonts w:ascii="Times New Roman" w:cs="Times New Roman" w:eastAsia="Times New Roman" w:hAnsi="Times New Roman"/>
          <w:sz w:val="13"/>
          <w:szCs w:val="13"/>
          <w:color w:val="auto"/>
        </w:rPr>
        <w:t>modified or superseded for purposes of this prospectus supplement to the extent that a statement contained herein or in a subsequently filed document that is incorporated by reference in this prospectus supplement modifies or supersedes such prior statement. We incorporate by reference the following documents filed with the SEC (other than, in each case, any information deemed to have been furnished and not filed in accordance with SEC rules):</w:t>
      </w:r>
    </w:p>
    <w:p>
      <w:pPr>
        <w:spacing w:after="0" w:line="45" w:lineRule="exact"/>
        <w:rPr>
          <w:sz w:val="20"/>
          <w:szCs w:val="20"/>
          <w:color w:val="auto"/>
        </w:rPr>
      </w:pPr>
    </w:p>
    <w:p>
      <w:pPr>
        <w:ind w:left="2120" w:hanging="327"/>
        <w:spacing w:after="0"/>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25, 2026;</w:t>
      </w:r>
    </w:p>
    <w:p>
      <w:pPr>
        <w:spacing w:after="0" w:line="100" w:lineRule="exact"/>
        <w:rPr>
          <w:rFonts w:ascii="Times New Roman" w:cs="Times New Roman" w:eastAsia="Times New Roman" w:hAnsi="Times New Roman"/>
          <w:sz w:val="14"/>
          <w:szCs w:val="14"/>
          <w:color w:val="auto"/>
        </w:rPr>
      </w:pPr>
    </w:p>
    <w:p>
      <w:pPr>
        <w:ind w:left="2120" w:right="699" w:hanging="327"/>
        <w:spacing w:after="0" w:line="281"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w:t>
      </w:r>
      <w:hyperlink r:id="rId17">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March 30, 2026, to the extent specifically incorporated by reference into our Annual Report on Form 10-K for the year ended December 31, 2025;</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18">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quarterly period ended March 31, 2026, filed on April 28, 2026;</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19">
        <w:r>
          <w:rPr>
            <w:rFonts w:ascii="Times New Roman" w:cs="Times New Roman" w:eastAsia="Times New Roman" w:hAnsi="Times New Roman"/>
            <w:sz w:val="14"/>
            <w:szCs w:val="14"/>
            <w:u w:val="single" w:color="auto"/>
            <w:color w:val="0000EE"/>
          </w:rPr>
          <w:t>February 25,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0">
        <w:r>
          <w:rPr>
            <w:rFonts w:ascii="Times New Roman" w:cs="Times New Roman" w:eastAsia="Times New Roman" w:hAnsi="Times New Roman"/>
            <w:sz w:val="14"/>
            <w:szCs w:val="14"/>
            <w:u w:val="single" w:color="auto"/>
            <w:color w:val="0000EE"/>
          </w:rPr>
          <w:t>May 18, 2026</w:t>
        </w:r>
      </w:hyperlink>
      <w:r>
        <w:rPr>
          <w:rFonts w:ascii="Times New Roman" w:cs="Times New Roman" w:eastAsia="Times New Roman" w:hAnsi="Times New Roman"/>
          <w:sz w:val="14"/>
          <w:szCs w:val="14"/>
          <w:color w:val="auto"/>
        </w:rPr>
        <w:t>; and</w:t>
      </w:r>
    </w:p>
    <w:p>
      <w:pPr>
        <w:spacing w:after="0" w:line="100" w:lineRule="exact"/>
        <w:rPr>
          <w:rFonts w:ascii="Times New Roman" w:cs="Times New Roman" w:eastAsia="Times New Roman" w:hAnsi="Times New Roman"/>
          <w:sz w:val="14"/>
          <w:szCs w:val="14"/>
          <w:color w:val="auto"/>
        </w:rPr>
      </w:pPr>
    </w:p>
    <w:p>
      <w:pPr>
        <w:ind w:left="2120" w:right="419" w:hanging="327"/>
        <w:spacing w:after="0" w:line="260"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filings we make with the SEC under Sections 13(a), 13(c), 14 or 15(d) of the Securities Exchange Act of 1934, as amended (the “Exchange Act”) before the termination of the offering of the securities made under this prospectus supplement. Unless we specifically state to the contrary, none of the information we disclose under Items 2.02 or 7.01 of any Current Report on Form 8-K that we may from time to time furnish to the SEC will be incorporated by reference into, or otherwise included in, this prospectus supplement.</w:t>
      </w:r>
    </w:p>
    <w:p>
      <w:pPr>
        <w:spacing w:after="0" w:line="140" w:lineRule="exact"/>
        <w:rPr>
          <w:rFonts w:ascii="Times New Roman" w:cs="Times New Roman" w:eastAsia="Times New Roman" w:hAnsi="Times New Roman"/>
          <w:sz w:val="14"/>
          <w:szCs w:val="14"/>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Each person to whom a copy of this prospectus has been delivered, including any beneficial owner, may request a copy of any or all of the documents referred to above which may have been or may be incorporated by reference into this prospectus supplement and accompanying prospectus (excluding certain exhibits to the documents) at no cost by making a written or oral request to us at the following address:</w:t>
      </w:r>
    </w:p>
    <w:p>
      <w:pPr>
        <w:spacing w:after="0" w:line="136" w:lineRule="exact"/>
        <w:rPr>
          <w:rFonts w:ascii="Times New Roman" w:cs="Times New Roman" w:eastAsia="Times New Roman" w:hAnsi="Times New Roman"/>
          <w:sz w:val="14"/>
          <w:szCs w:val="14"/>
          <w:color w:val="auto"/>
        </w:rPr>
      </w:pPr>
    </w:p>
    <w:p>
      <w:pPr>
        <w:ind w:left="1720"/>
        <w:spacing w:after="0"/>
        <w:rPr>
          <w:sz w:val="20"/>
          <w:szCs w:val="20"/>
          <w:color w:val="auto"/>
        </w:rPr>
      </w:pPr>
      <w:r>
        <w:rPr>
          <w:rFonts w:ascii="Times New Roman" w:cs="Times New Roman" w:eastAsia="Times New Roman" w:hAnsi="Times New Roman"/>
          <w:sz w:val="14"/>
          <w:szCs w:val="14"/>
          <w:color w:val="auto"/>
        </w:rPr>
        <w:t>Xylem Inc., Attention: Corporate Secretary, 301 Water Street SE, Washington, D.C. 20003, (202) 869-9150</w:t>
      </w:r>
    </w:p>
    <w:p>
      <w:pPr>
        <w:spacing w:after="0" w:line="174" w:lineRule="exact"/>
        <w:rPr>
          <w:rFonts w:ascii="Times New Roman" w:cs="Times New Roman" w:eastAsia="Times New Roman" w:hAnsi="Times New Roman"/>
          <w:sz w:val="14"/>
          <w:szCs w:val="14"/>
          <w:color w:val="auto"/>
        </w:rPr>
      </w:pPr>
    </w:p>
    <w:p>
      <w:pPr>
        <w:ind w:left="1380" w:right="239" w:firstLine="341"/>
        <w:spacing w:after="0" w:line="254" w:lineRule="auto"/>
        <w:rPr>
          <w:sz w:val="20"/>
          <w:szCs w:val="20"/>
          <w:color w:val="auto"/>
        </w:rPr>
      </w:pPr>
      <w:r>
        <w:rPr>
          <w:rFonts w:ascii="Times New Roman" w:cs="Times New Roman" w:eastAsia="Times New Roman" w:hAnsi="Times New Roman"/>
          <w:sz w:val="14"/>
          <w:szCs w:val="14"/>
          <w:color w:val="auto"/>
        </w:rPr>
        <w:t>WE HAVE NOT, AND THE UNDERWRITERS HAVE NOT, AUTHORIZED ANYONE TO PROVIDE YOU WITH ANY ADDITIONAL INFORMATION OR ANY INFORMATION THAT IS DIFFERENT FROM THAT CONTAINED IN OR INCORPORATED BY REFERENCE INTO THIS PROSPECTUS SUPPLEMENT OR THE ACCOMPANYING PROSPECTUS OR ANY FREE WRITING PROSPECTUS PROVIDED IN CONNECTION WITH THE OFFERING OF THE NOTES. WE AND THE UNDERWRITERS TAKE NO RESPONSIBILITY FOR, AND CAN PROVIDE NO ASSURANCE AS TO THE RELIABILITY OF, ANY OTHER INFORMATION THAT OTHERS MAY GIVE YOU. YOU SHOULD NOT ASSUME THAT THE INFORMATION CONTAINED IN THIS PROSPECTUS SUPPLEMENT OR THE ACCOMPANYING PROSPECTUS IS ACCURATE AS OF ANY DATE OTHER THAN THAT DATE, UNLESS WE OTHERWISE NOTE IN THIS PROSPECTUS SUPPLEMENT OR THE ACCOMPANYING PROSPECTUS.</w:t>
      </w:r>
    </w:p>
    <w:p>
      <w:pPr>
        <w:spacing w:after="0" w:line="92"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6"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This prospectus supplement, including documents incorporated herein by reference, contains “forward-looking statements” within the meaning of Section 27A of the Securities Act of 1933, as amended (the “Securities Act”) and Section 21E of the Exchange Act. Generally, the words “anticipate,” “estimate,” “expect,” “project,” “intend,” “plan,” “contemplate,” “predict,” “outlook,”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144" w:lineRule="exact"/>
        <w:rPr>
          <w:sz w:val="20"/>
          <w:szCs w:val="20"/>
          <w:color w:val="auto"/>
        </w:rPr>
      </w:pPr>
    </w:p>
    <w:p>
      <w:pPr>
        <w:ind w:left="1380" w:right="259" w:firstLine="341"/>
        <w:spacing w:after="0" w:line="250" w:lineRule="auto"/>
        <w:rPr>
          <w:sz w:val="20"/>
          <w:szCs w:val="20"/>
          <w:color w:val="auto"/>
        </w:rPr>
      </w:pPr>
      <w:r>
        <w:rPr>
          <w:rFonts w:ascii="Times New Roman" w:cs="Times New Roman" w:eastAsia="Times New Roman" w:hAnsi="Times New Roman"/>
          <w:sz w:val="14"/>
          <w:szCs w:val="14"/>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to our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below under “Risk Factors” and those described from time to time in reports filed with the SEC.</w:t>
      </w:r>
    </w:p>
    <w:p>
      <w:pPr>
        <w:spacing w:after="0" w:line="161"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Forward-looking and other statements in this prospectus supplement or the documents incorporated by reference herein regarding our environmental and other sustainability, plans and goals are not an indication that these statements are necessarily material to investors, to our business, operating results, financial condition,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39"/>
        <w:spacing w:after="0" w:line="255" w:lineRule="auto"/>
        <w:rPr>
          <w:sz w:val="20"/>
          <w:szCs w:val="20"/>
          <w:color w:val="auto"/>
        </w:rPr>
      </w:pPr>
      <w:r>
        <w:rPr>
          <w:rFonts w:ascii="Times New Roman" w:cs="Times New Roman" w:eastAsia="Times New Roman" w:hAnsi="Times New Roman"/>
          <w:sz w:val="14"/>
          <w:szCs w:val="14"/>
          <w:color w:val="auto"/>
        </w:rPr>
        <w:t>outlook, or strategy, to our impacts on sustainability matters or other parties, or are required to be disclosed in our filings with the SEC or other regulatory authorities, and are not intended to create legal rights or obligations.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prospectus supplement. We undertake no obligation to publicly update or revise any forward-looking statements, whether as a result of new information, future events or otherwise, except as required by law.</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783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5427980" cy="4783455"/>
                    </a:xfrm>
                    <a:prstGeom prst="rect">
                      <a:avLst/>
                    </a:prstGeom>
                    <a:noFill/>
                  </pic:spPr>
                </pic:pic>
              </a:graphicData>
            </a:graphic>
          </wp:anchor>
        </w:drawing>
      </w: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4" w:lineRule="exact"/>
        <w:rPr>
          <w:sz w:val="20"/>
          <w:szCs w:val="20"/>
          <w:color w:val="auto"/>
        </w:rPr>
      </w:pPr>
    </w:p>
    <w:p>
      <w:pPr>
        <w:jc w:val="both"/>
        <w:ind w:left="1520" w:right="519" w:firstLine="330"/>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is a brief summary of some of the terms of this offering. It does not contain all of the information that you need to consider in making your investment decision. To understand all of the terms of the offering of the notes, you should carefully read this prospectus supplement and the accompanying prospectus.</w:t>
      </w: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Xylem</w:t>
      </w:r>
    </w:p>
    <w:p>
      <w:pPr>
        <w:spacing w:after="0" w:line="176" w:lineRule="exact"/>
        <w:rPr>
          <w:sz w:val="20"/>
          <w:szCs w:val="20"/>
          <w:color w:val="auto"/>
        </w:rPr>
      </w:pPr>
    </w:p>
    <w:p>
      <w:pPr>
        <w:ind w:left="1520" w:right="399" w:firstLine="330"/>
        <w:spacing w:after="0" w:line="255" w:lineRule="auto"/>
        <w:rPr>
          <w:sz w:val="20"/>
          <w:szCs w:val="20"/>
          <w:color w:val="auto"/>
        </w:rPr>
      </w:pPr>
      <w:r>
        <w:rPr>
          <w:rFonts w:ascii="Times New Roman" w:cs="Times New Roman" w:eastAsia="Times New Roman" w:hAnsi="Times New Roman"/>
          <w:sz w:val="14"/>
          <w:szCs w:val="14"/>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w:t>
      </w:r>
    </w:p>
    <w:p>
      <w:pPr>
        <w:spacing w:after="0" w:line="70" w:lineRule="exact"/>
        <w:rPr>
          <w:sz w:val="20"/>
          <w:szCs w:val="20"/>
          <w:color w:val="auto"/>
        </w:rPr>
      </w:pPr>
    </w:p>
    <w:p>
      <w:pPr>
        <w:ind w:left="2240" w:right="439" w:hanging="316"/>
        <w:spacing w:after="0" w:line="253"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Water Infrastructure 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and wastewater solutions, for municipal and industrial applications. In the Water Infrastructure segment we reach customers indirectly, through channel partners and distributors, directly and through our service capabilities.</w:t>
      </w:r>
    </w:p>
    <w:p>
      <w:pPr>
        <w:spacing w:after="0" w:line="73" w:lineRule="exact"/>
        <w:rPr>
          <w:rFonts w:ascii="Times New Roman" w:cs="Times New Roman" w:eastAsia="Times New Roman" w:hAnsi="Times New Roman"/>
          <w:sz w:val="14"/>
          <w:szCs w:val="14"/>
          <w:color w:val="auto"/>
        </w:rPr>
      </w:pPr>
    </w:p>
    <w:p>
      <w:pPr>
        <w:ind w:left="2240" w:right="639" w:hanging="316"/>
        <w:spacing w:after="0" w:line="256"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Applied Water </w:t>
      </w:r>
      <w:r>
        <w:rPr>
          <w:rFonts w:ascii="Times New Roman" w:cs="Times New Roman" w:eastAsia="Times New Roman" w:hAnsi="Times New Roman"/>
          <w:sz w:val="14"/>
          <w:szCs w:val="14"/>
          <w:color w:val="auto"/>
        </w:rPr>
        <w:t>serves the water usage applications sector with water pressure boosting systems for heating, ventilation and air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conditioning, and for fire protection systems to the residential and commercial building solutions markets. In addition, our pumps, heat exchangers and controls provide cooling to power plants and manufacturing facilities, circulation for food and beverage processing, and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68" w:lineRule="exact"/>
        <w:rPr>
          <w:rFonts w:ascii="Times New Roman" w:cs="Times New Roman" w:eastAsia="Times New Roman" w:hAnsi="Times New Roman"/>
          <w:sz w:val="14"/>
          <w:szCs w:val="14"/>
          <w:color w:val="auto"/>
        </w:rPr>
      </w:pPr>
    </w:p>
    <w:p>
      <w:pPr>
        <w:ind w:left="2240" w:right="419" w:hanging="316"/>
        <w:spacing w:after="0" w:line="275"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Measurement and Control Solutions </w:t>
      </w:r>
      <w:r>
        <w:rPr>
          <w:rFonts w:ascii="Times New Roman" w:cs="Times New Roman" w:eastAsia="Times New Roman" w:hAnsi="Times New Roman"/>
          <w:sz w:val="13"/>
          <w:szCs w:val="13"/>
          <w:color w:val="auto"/>
        </w:rPr>
        <w:t>primarily serves the utility infrastructure solutions and services sector by delivering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which have been further enhanced by our Xylem Vue platform to enable a holistic view of the water cycle for our customers through cloud-based analytics, remote monitoring and data management with the purpose of optimizing their operating efficiency.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59" w:lineRule="exact"/>
        <w:rPr>
          <w:rFonts w:ascii="Times New Roman" w:cs="Times New Roman" w:eastAsia="Times New Roman" w:hAnsi="Times New Roman"/>
          <w:sz w:val="13"/>
          <w:szCs w:val="13"/>
          <w:color w:val="auto"/>
        </w:rPr>
      </w:pPr>
    </w:p>
    <w:p>
      <w:pPr>
        <w:ind w:left="2240" w:right="599" w:hanging="316"/>
        <w:spacing w:after="0" w:line="284"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Water Solutions and Services </w:t>
      </w:r>
      <w:r>
        <w:rPr>
          <w:rFonts w:ascii="Times New Roman" w:cs="Times New Roman" w:eastAsia="Times New Roman" w:hAnsi="Times New Roman"/>
          <w:sz w:val="14"/>
          <w:szCs w:val="14"/>
          <w:color w:val="auto"/>
        </w:rPr>
        <w:t>provides tailored services and solutions, in collaboration with customers, including on-demand water,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outsourced water, recycle/reuse, pipeline assessment services, specialty</w:t>
      </w:r>
    </w:p>
    <w:p>
      <w:pPr>
        <w:spacing w:after="0" w:line="2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1248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427980" cy="1248410"/>
                    </a:xfrm>
                    <a:prstGeom prst="rect">
                      <a:avLst/>
                    </a:prstGeom>
                    <a:noFill/>
                  </pic:spPr>
                </pic:pic>
              </a:graphicData>
            </a:graphic>
          </wp:anchor>
        </w:drawing>
      </w:r>
    </w:p>
    <w:p>
      <w:pPr>
        <w:spacing w:after="0" w:line="365" w:lineRule="exact"/>
        <w:rPr>
          <w:sz w:val="20"/>
          <w:szCs w:val="20"/>
          <w:color w:val="auto"/>
        </w:rPr>
      </w:pPr>
    </w:p>
    <w:p>
      <w:pPr>
        <w:ind w:left="2240" w:right="479"/>
        <w:spacing w:after="0" w:line="254" w:lineRule="auto"/>
        <w:rPr>
          <w:sz w:val="20"/>
          <w:szCs w:val="20"/>
          <w:color w:val="auto"/>
        </w:rPr>
      </w:pPr>
      <w:r>
        <w:rPr>
          <w:rFonts w:ascii="Times New Roman" w:cs="Times New Roman" w:eastAsia="Times New Roman" w:hAnsi="Times New Roman"/>
          <w:sz w:val="14"/>
          <w:szCs w:val="14"/>
          <w:color w:val="auto"/>
        </w:rPr>
        <w:t>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 In the Water Solutions and Services segment, we leverage our internal and external partners, and extensive service branch networks across the globe, including a rental fleet of transfer and treatment assets to serve our customers.</w:t>
      </w:r>
    </w:p>
    <w:p>
      <w:pPr>
        <w:spacing w:after="0" w:line="147" w:lineRule="exact"/>
        <w:rPr>
          <w:sz w:val="20"/>
          <w:szCs w:val="20"/>
          <w:color w:val="auto"/>
        </w:rPr>
      </w:pPr>
    </w:p>
    <w:p>
      <w:pPr>
        <w:ind w:left="1520" w:right="479" w:firstLine="330"/>
        <w:spacing w:after="0" w:line="281" w:lineRule="auto"/>
        <w:rPr>
          <w:sz w:val="20"/>
          <w:szCs w:val="20"/>
          <w:color w:val="auto"/>
        </w:rPr>
      </w:pPr>
      <w:r>
        <w:rPr>
          <w:rFonts w:ascii="Times New Roman" w:cs="Times New Roman" w:eastAsia="Times New Roman" w:hAnsi="Times New Roman"/>
          <w:sz w:val="14"/>
          <w:szCs w:val="14"/>
          <w:color w:val="auto"/>
        </w:rPr>
        <w:t>Xylem Inc. was incorporated under the laws of the State of Indiana on May 4, 2011. Our principal executive offices are located at 301 Water Street SE, Washington, D.C. 20003 USA, and our telephone number is (202) 869-9150.</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370" w:type="dxa"/>
        <w:tblCellMar>
          <w:top w:w="0" w:type="dxa"/>
          <w:left w:w="0" w:type="dxa"/>
          <w:bottom w:w="0" w:type="dxa"/>
          <w:right w:w="0" w:type="dxa"/>
        </w:tblCellMar>
      </w:tblPr>
      <w:tr>
        <w:trPr>
          <w:trHeight w:val="308"/>
        </w:trPr>
        <w:tc>
          <w:tcPr>
            <w:tcW w:w="3200" w:type="dxa"/>
            <w:vAlign w:val="bottom"/>
            <w:tcBorders>
              <w:top w:val="single" w:sz="8" w:color="auto"/>
              <w:left w:val="single" w:sz="8" w:color="auto"/>
            </w:tcBorders>
          </w:tcPr>
          <w:p>
            <w:pPr>
              <w:spacing w:after="0"/>
              <w:rPr>
                <w:sz w:val="24"/>
                <w:szCs w:val="24"/>
                <w:color w:val="auto"/>
              </w:rPr>
            </w:pPr>
          </w:p>
        </w:tc>
        <w:tc>
          <w:tcPr>
            <w:tcW w:w="536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56"/>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Issuer</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Xylem Inc., an Indiana corporation.</w:t>
            </w:r>
          </w:p>
        </w:tc>
      </w:tr>
      <w:tr>
        <w:trPr>
          <w:trHeight w:val="25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Securities Offered</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$1,000,000,000 aggregate principal amount of our notes, consisting of $500,000,000</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aggregate principal amount of 5.200% Senior Notes due 2033 and $500,000,000 aggregate</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principal amount of 5.450% Senior Blue Notes due 2036.</w:t>
            </w:r>
          </w:p>
        </w:tc>
      </w:tr>
      <w:tr>
        <w:trPr>
          <w:trHeight w:val="262"/>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Original Issue Date</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May 29, 2026.</w:t>
            </w:r>
          </w:p>
        </w:tc>
      </w:tr>
      <w:tr>
        <w:trPr>
          <w:trHeight w:val="25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Maturity Date</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2033 notes will mature on June 1, 2033 and the 2036 blue notes will mature on June 1,</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2036.</w:t>
            </w:r>
          </w:p>
        </w:tc>
      </w:tr>
      <w:tr>
        <w:trPr>
          <w:trHeight w:val="24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Interest Payment Dates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Interest on the notes of each series will be paid semi-annually on June 1 and December 1 of</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each year, commencing on December 1, 2026.</w:t>
            </w:r>
          </w:p>
        </w:tc>
      </w:tr>
      <w:tr>
        <w:trPr>
          <w:trHeight w:val="24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Interest Rate</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notes will bear interest at a rate of 5.200% per annum with respect to the 2033 notes</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and 5.450% per annum with respect to the 2036 blue notes.</w:t>
            </w:r>
          </w:p>
        </w:tc>
      </w:tr>
      <w:tr>
        <w:trPr>
          <w:trHeight w:val="24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Repurchase at the Option of the Holders of the Notes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If we experience a change of control triggering event, each holder of notes may require us</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to repurchase some or all of the notes at a purchase price equal to 101% of the aggregate</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principal amount of the notes repurchased, plus any accrued and unpaid interest up to, but</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not including, the repurchase date. See “Description of Notes—Repurchase Upon Change</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 Control Triggering Event.”</w:t>
            </w:r>
          </w:p>
        </w:tc>
      </w:tr>
      <w:tr>
        <w:trPr>
          <w:trHeight w:val="24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Optional Redemption</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We may, at our option, redeem some or all of each series of notes, at any time and from</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time to time, in whole or in part, at the redemption prices described under ‘‘Description of</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Notes—Redemption—Optional Redemption.’’</w:t>
            </w:r>
          </w:p>
        </w:tc>
      </w:tr>
      <w:tr>
        <w:trPr>
          <w:trHeight w:val="24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We intend to use the net proceeds from the sale of the 2033 notes to repay or redeem our</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$500 million aggregate principal amount of 3.250% Senior Notes maturing on</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November 1, 2026 at or prior to maturity and for general corporate purposes. We intend to</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allocate an amount equal to the net proceeds from the sale of the 2036 blue notes to finance</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and/or refinance, in whole or in part, a portfolio of Eligible Blue Projects (as defined in</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“Use of Proceeds”). Pending allocation for such purposes, we intend to hold and/or invest</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balance of net proceeds not yet allocated to the portfolio of Eligible Blue Projects in</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our treasury liquidity portfolio, or in cash or other short-term and liquid instruments. See</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“Use of Proceeds.”</w:t>
            </w:r>
          </w:p>
        </w:tc>
      </w:tr>
      <w:tr>
        <w:trPr>
          <w:trHeight w:val="24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Ranking</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notes will be unsecured obligations of ours and will rank equally with our other</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unsecured and unsubordinated indebtedness.</w:t>
            </w:r>
          </w:p>
        </w:tc>
      </w:tr>
      <w:tr>
        <w:trPr>
          <w:trHeight w:val="24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Denominations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notes will be issued only in minimum denominations of $2,000 and integral multiples</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 $1,000 in excess thereof.</w:t>
            </w:r>
          </w:p>
        </w:tc>
      </w:tr>
      <w:tr>
        <w:trPr>
          <w:trHeight w:val="247"/>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Form</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notes of each series will be represented by global certificates deposited with, or on</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behalf of, The Depository Trust Company (“DTC”), or its nominee.</w:t>
            </w:r>
          </w:p>
        </w:tc>
      </w:tr>
      <w:tr>
        <w:trPr>
          <w:trHeight w:val="131"/>
        </w:trPr>
        <w:tc>
          <w:tcPr>
            <w:tcW w:w="3200" w:type="dxa"/>
            <w:vAlign w:val="bottom"/>
            <w:tcBorders>
              <w:left w:val="single" w:sz="8" w:color="auto"/>
              <w:bottom w:val="single" w:sz="8" w:color="auto"/>
            </w:tcBorders>
          </w:tcPr>
          <w:p>
            <w:pPr>
              <w:spacing w:after="0"/>
              <w:rPr>
                <w:sz w:val="11"/>
                <w:szCs w:val="11"/>
                <w:color w:val="auto"/>
              </w:rPr>
            </w:pPr>
          </w:p>
        </w:tc>
        <w:tc>
          <w:tcPr>
            <w:tcW w:w="5360" w:type="dxa"/>
            <w:vAlign w:val="bottom"/>
            <w:tcBorders>
              <w:bottom w:val="single" w:sz="8" w:color="auto"/>
              <w:right w:val="single" w:sz="8" w:color="auto"/>
            </w:tcBorders>
          </w:tcPr>
          <w:p>
            <w:pPr>
              <w:spacing w:after="0"/>
              <w:rPr>
                <w:sz w:val="11"/>
                <w:szCs w:val="11"/>
                <w:color w:val="auto"/>
              </w:rPr>
            </w:pPr>
          </w:p>
        </w:tc>
      </w:tr>
      <w:tr>
        <w:trPr>
          <w:trHeight w:val="278"/>
        </w:trPr>
        <w:tc>
          <w:tcPr>
            <w:tcW w:w="3200" w:type="dxa"/>
            <w:vAlign w:val="bottom"/>
          </w:tcPr>
          <w:p>
            <w:pPr>
              <w:spacing w:after="0"/>
              <w:rPr>
                <w:sz w:val="24"/>
                <w:szCs w:val="24"/>
                <w:color w:val="auto"/>
              </w:rPr>
            </w:pPr>
          </w:p>
        </w:tc>
        <w:tc>
          <w:tcPr>
            <w:tcW w:w="53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S-7</w:t>
            </w:r>
          </w:p>
        </w:tc>
      </w:tr>
    </w:tbl>
    <w:p>
      <w:pPr>
        <w:sectPr>
          <w:pgSz w:w="11900" w:h="16838" w:orient="portrait"/>
          <w:cols w:equalWidth="0" w:num="1">
            <w:col w:w="10159"/>
          </w:cols>
          <w:pgMar w:left="300" w:top="38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370" w:type="dxa"/>
        <w:tblCellMar>
          <w:top w:w="0" w:type="dxa"/>
          <w:left w:w="0" w:type="dxa"/>
          <w:bottom w:w="0" w:type="dxa"/>
          <w:right w:w="0" w:type="dxa"/>
        </w:tblCellMar>
      </w:tblPr>
      <w:tr>
        <w:trPr>
          <w:trHeight w:val="294"/>
        </w:trPr>
        <w:tc>
          <w:tcPr>
            <w:tcW w:w="274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Absence of Public Market</w:t>
            </w:r>
          </w:p>
        </w:tc>
        <w:tc>
          <w:tcPr>
            <w:tcW w:w="582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notes are new securities for which there is currently no public trading market.</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Accordingly, we cannot assure you as to the development or liquidity of any market for the</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notes. We have been advised by the underwriters that they presently intend to make a</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market in the notes after completion of this offering. However, they are under no obligation</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to do so and may discontinue any market-making activities at any time without any notice.</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do not intend to apply to list either series of the notes on any securities exchange or to</w:t>
            </w:r>
          </w:p>
        </w:tc>
      </w:tr>
      <w:tr>
        <w:trPr>
          <w:trHeight w:val="182"/>
        </w:trPr>
        <w:tc>
          <w:tcPr>
            <w:tcW w:w="274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have the notes of either series quoted on any automated quotation system.</w:t>
            </w:r>
          </w:p>
        </w:tc>
      </w:tr>
      <w:tr>
        <w:trPr>
          <w:trHeight w:val="247"/>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Further Issues</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may from time to time, without notice to or the consent of the holders of notes, create</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and issue further notes ranking equally and ratably with such series of notes in all respects,</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or in all respects except for the payment of interest accruing prior to the issue date or</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except for the first payment of interest following the issue date of those further notes. Any</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further notes will have the same terms as to status, redemption or otherwise as the notes. If</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such further notes are not fungible with the notes in this offering for United States federal</w:t>
            </w:r>
          </w:p>
        </w:tc>
      </w:tr>
      <w:tr>
        <w:trPr>
          <w:trHeight w:val="182"/>
        </w:trPr>
        <w:tc>
          <w:tcPr>
            <w:tcW w:w="274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income tax purposes, the further notes will have different ISIN and CUSIP numbers.</w:t>
            </w:r>
          </w:p>
        </w:tc>
      </w:tr>
      <w:tr>
        <w:trPr>
          <w:trHeight w:val="247"/>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Governing Law</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notes and the indenture under which they will be issued will be governed by the laws</w:t>
            </w:r>
          </w:p>
        </w:tc>
      </w:tr>
      <w:tr>
        <w:trPr>
          <w:trHeight w:val="182"/>
        </w:trPr>
        <w:tc>
          <w:tcPr>
            <w:tcW w:w="274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of the State of New York.</w:t>
            </w:r>
          </w:p>
        </w:tc>
      </w:tr>
      <w:tr>
        <w:trPr>
          <w:trHeight w:val="262"/>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Trustee, Registrar and Paying Agent</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Deutsche Bank Trust Company Americas</w:t>
            </w:r>
          </w:p>
        </w:tc>
      </w:tr>
      <w:tr>
        <w:trPr>
          <w:trHeight w:val="272"/>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Investing in the notes involves risks. See “Risk Factors” for more information.</w:t>
            </w:r>
          </w:p>
        </w:tc>
      </w:tr>
      <w:tr>
        <w:trPr>
          <w:trHeight w:val="142"/>
        </w:trPr>
        <w:tc>
          <w:tcPr>
            <w:tcW w:w="2740" w:type="dxa"/>
            <w:vAlign w:val="bottom"/>
            <w:tcBorders>
              <w:left w:val="single" w:sz="8" w:color="auto"/>
              <w:bottom w:val="single" w:sz="8" w:color="auto"/>
            </w:tcBorders>
          </w:tcPr>
          <w:p>
            <w:pPr>
              <w:spacing w:after="0"/>
              <w:rPr>
                <w:sz w:val="12"/>
                <w:szCs w:val="12"/>
                <w:color w:val="auto"/>
              </w:rPr>
            </w:pPr>
          </w:p>
        </w:tc>
        <w:tc>
          <w:tcPr>
            <w:tcW w:w="5820" w:type="dxa"/>
            <w:vAlign w:val="bottom"/>
            <w:tcBorders>
              <w:bottom w:val="single" w:sz="8" w:color="auto"/>
              <w:right w:val="single" w:sz="8" w:color="auto"/>
            </w:tcBorders>
          </w:tcPr>
          <w:p>
            <w:pPr>
              <w:spacing w:after="0"/>
              <w:rPr>
                <w:sz w:val="12"/>
                <w:szCs w:val="12"/>
                <w:color w:val="auto"/>
              </w:rPr>
            </w:pPr>
          </w:p>
        </w:tc>
      </w:tr>
      <w:tr>
        <w:trPr>
          <w:trHeight w:val="278"/>
        </w:trPr>
        <w:tc>
          <w:tcPr>
            <w:tcW w:w="2740" w:type="dxa"/>
            <w:vAlign w:val="bottom"/>
          </w:tcPr>
          <w:p>
            <w:pPr>
              <w:spacing w:after="0"/>
              <w:rPr>
                <w:sz w:val="24"/>
                <w:szCs w:val="24"/>
                <w:color w:val="auto"/>
              </w:rPr>
            </w:pPr>
          </w:p>
        </w:tc>
        <w:tc>
          <w:tcPr>
            <w:tcW w:w="582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S-8</w:t>
            </w:r>
          </w:p>
        </w:tc>
      </w:tr>
    </w:tbl>
    <w:p>
      <w:pPr>
        <w:sectPr>
          <w:pgSz w:w="11900" w:h="16838" w:orient="portrait"/>
          <w:cols w:equalWidth="0" w:num="1">
            <w:col w:w="10159"/>
          </w:cols>
          <w:pgMar w:left="300" w:top="38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ind w:left="1380" w:right="319" w:firstLine="341"/>
        <w:spacing w:after="0" w:line="258" w:lineRule="auto"/>
        <w:rPr>
          <w:sz w:val="20"/>
          <w:szCs w:val="20"/>
          <w:color w:val="auto"/>
        </w:rPr>
      </w:pPr>
      <w:r>
        <w:rPr>
          <w:rFonts w:ascii="Times New Roman" w:cs="Times New Roman" w:eastAsia="Times New Roman" w:hAnsi="Times New Roman"/>
          <w:sz w:val="14"/>
          <w:szCs w:val="14"/>
          <w:i w:val="1"/>
          <w:iCs w:val="1"/>
          <w:color w:val="auto"/>
        </w:rPr>
        <w:t>Investing in the notes involves risk. Before you decide whether to purchase any notes, you should carefully consider the risks described under “Risk Factors” in Item 1A of our Annual Report on Form 10-K for the year ended December 31, 2025 and our Quarterly Report on Form 10-Q for the quarterly period ended March 31, 2026 (which Risk Factors are incorporated by reference herein), as such descriptions may be updated or amended in any future reports we file with the SEC, as well as the risks described below and the other information contained or incorporated by reference in this prospectus supplement and the accompanying prospectus. See “Where You Can Find More Information” above.</w:t>
      </w:r>
    </w:p>
    <w:p>
      <w:pPr>
        <w:spacing w:after="0" w:line="3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Risks Related to the Notes</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repurchase the notes upon a change of control.</w:t>
      </w:r>
    </w:p>
    <w:p>
      <w:pPr>
        <w:spacing w:after="0" w:line="176" w:lineRule="exact"/>
        <w:rPr>
          <w:sz w:val="20"/>
          <w:szCs w:val="20"/>
          <w:color w:val="auto"/>
        </w:rPr>
      </w:pPr>
    </w:p>
    <w:p>
      <w:pPr>
        <w:ind w:left="1380" w:right="299" w:firstLine="341"/>
        <w:spacing w:after="0" w:line="254" w:lineRule="auto"/>
        <w:rPr>
          <w:sz w:val="20"/>
          <w:szCs w:val="20"/>
          <w:color w:val="auto"/>
        </w:rPr>
      </w:pPr>
      <w:r>
        <w:rPr>
          <w:rFonts w:ascii="Times New Roman" w:cs="Times New Roman" w:eastAsia="Times New Roman" w:hAnsi="Times New Roman"/>
          <w:sz w:val="14"/>
          <w:szCs w:val="14"/>
          <w:color w:val="auto"/>
        </w:rPr>
        <w:t>Upon a change of control triggering event, as defined under the indenture governing the notes, we are required to offer to repurchase all of the notes then outstanding at a price equal to 101% of the aggregate principal amount of the notes repurchased, plus accrued interest. In order to obtain sufficient funds to pay the purchase price of the outstanding notes, we expect that we would have to refinance the notes. We cannot assure you that we would be able to refinance the notes on favorable terms or at all. Our failure to offer to purchase all outstanding notes or to purchase all validly tendered notes would be an event of default under the indenture governing the notes. Such an event of default may cause the acceleration of our other indebtedness. Our future indebtedness may also contain restrictions on repayment requirements with respect to specified events or transactions that constitute a change of control triggering event under the indenture. Please see the section entitled “Description of Notes—Repurchase Upon Change of Control Triggering Event.”</w:t>
      </w:r>
    </w:p>
    <w:p>
      <w:pPr>
        <w:spacing w:after="0" w:line="14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There is no current public market for the notes and a market may not develop.</w:t>
      </w:r>
    </w:p>
    <w:p>
      <w:pPr>
        <w:spacing w:after="0" w:line="176"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notes are new issues of securities with no established trading markets. As a result, no assurance is given by us or any joint book-running manager or co-manager that markets will develop for the notes or that you will be able to sell the notes. If any of the notes are traded after their initial issuance, they may trade at a discount from their initial offering prices. Future trading prices of the notes will depend on many factors, including prevailing interest rates, the market for similar securities, general economic conditions, our financial condition and performance, as well as other factors. Accordingly, you may be required to bear the financial risk of an investment in the notes for an indefinite period of time. We do not intend to apply for listing or quotation of the notes of either series on any securities exchange or automated quotation system, respectively.</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We may choose to redeem the notes when prevailing interest rates are relatively low.</w:t>
      </w:r>
    </w:p>
    <w:p>
      <w:pPr>
        <w:spacing w:after="0" w:line="176" w:lineRule="exact"/>
        <w:rPr>
          <w:sz w:val="20"/>
          <w:szCs w:val="20"/>
          <w:color w:val="auto"/>
        </w:rPr>
      </w:pPr>
    </w:p>
    <w:p>
      <w:pPr>
        <w:ind w:left="1380" w:right="419" w:firstLine="341"/>
        <w:spacing w:after="0" w:line="260" w:lineRule="auto"/>
        <w:rPr>
          <w:sz w:val="20"/>
          <w:szCs w:val="20"/>
          <w:color w:val="auto"/>
        </w:rPr>
      </w:pPr>
      <w:r>
        <w:rPr>
          <w:rFonts w:ascii="Times New Roman" w:cs="Times New Roman" w:eastAsia="Times New Roman" w:hAnsi="Times New Roman"/>
          <w:sz w:val="14"/>
          <w:szCs w:val="14"/>
          <w:color w:val="auto"/>
        </w:rPr>
        <w:t>The notes are redeemable at our option, and we may choose to redeem some or all of the notes from time to time, especially when prevailing interest rates are lower than the rate borne by the notes. If prevailing rates are lower at the time of redemption, you would not be able to reinvest the redemption proceeds in a comparable security at an effective interest rate as high as the interest rate on the notes being redeemed. See “Description of Notes—Optional Redemption.”</w:t>
      </w:r>
    </w:p>
    <w:p>
      <w:pPr>
        <w:spacing w:after="0" w:line="1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The notes are structurally subordinated to the liabilities of our subsidiaries.</w:t>
      </w:r>
    </w:p>
    <w:p>
      <w:pPr>
        <w:spacing w:after="0" w:line="176" w:lineRule="exact"/>
        <w:rPr>
          <w:sz w:val="20"/>
          <w:szCs w:val="20"/>
          <w:color w:val="auto"/>
        </w:rPr>
      </w:pPr>
    </w:p>
    <w:p>
      <w:pPr>
        <w:ind w:left="1380" w:right="579" w:firstLine="341"/>
        <w:spacing w:after="0" w:line="260" w:lineRule="auto"/>
        <w:rPr>
          <w:sz w:val="20"/>
          <w:szCs w:val="20"/>
          <w:color w:val="auto"/>
        </w:rPr>
      </w:pPr>
      <w:r>
        <w:rPr>
          <w:rFonts w:ascii="Times New Roman" w:cs="Times New Roman" w:eastAsia="Times New Roman" w:hAnsi="Times New Roman"/>
          <w:sz w:val="14"/>
          <w:szCs w:val="14"/>
          <w:color w:val="auto"/>
        </w:rPr>
        <w:t>The notes are our obligations exclusively and not obligations of any of our subsidiaries. A significant portion of our operations is conducted through our subsidiaries. Our subsidiaries are separate legal entities that have no obligation to pay any amounts due under the notes or to make any funds available therefor, whether by dividends, loans or other payments. Except to the extent we are a creditor with recognized claims against our subsidiaries, all claims of creditors (including trade creditors) and holders of preferred stock, if any, of our</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380" w:right="299"/>
        <w:spacing w:after="0" w:line="265" w:lineRule="auto"/>
        <w:rPr>
          <w:sz w:val="20"/>
          <w:szCs w:val="20"/>
          <w:color w:val="auto"/>
        </w:rPr>
      </w:pPr>
      <w:r>
        <w:rPr>
          <w:rFonts w:ascii="Times New Roman" w:cs="Times New Roman" w:eastAsia="Times New Roman" w:hAnsi="Times New Roman"/>
          <w:sz w:val="14"/>
          <w:szCs w:val="14"/>
          <w:color w:val="auto"/>
        </w:rPr>
        <w:t>subsidiaries will have priority with respect to the assets of such subsidiaries over our claims (and therefore the claims of our creditors, including holders of the notes). Consequently, the notes will be effectively subordinated to all existing and future liabilities of any of our subsidiaries and any subsidiaries that we may in the future acquire or establish.</w:t>
      </w:r>
    </w:p>
    <w:p>
      <w:pPr>
        <w:spacing w:after="0" w:line="134" w:lineRule="exact"/>
        <w:rPr>
          <w:sz w:val="20"/>
          <w:szCs w:val="20"/>
          <w:color w:val="auto"/>
        </w:rPr>
      </w:pPr>
    </w:p>
    <w:p>
      <w:pPr>
        <w:ind w:left="1380" w:right="879" w:firstLine="341"/>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The notes are subject to prior claims of any secured creditors, and if a default occurs, we may not have sufficient funds to fulfill our obligations under the notes.</w:t>
      </w:r>
    </w:p>
    <w:p>
      <w:pPr>
        <w:spacing w:after="0" w:line="123" w:lineRule="exact"/>
        <w:rPr>
          <w:sz w:val="20"/>
          <w:szCs w:val="20"/>
          <w:color w:val="auto"/>
        </w:rPr>
      </w:pPr>
    </w:p>
    <w:p>
      <w:pPr>
        <w:ind w:left="1380" w:right="279" w:firstLine="341"/>
        <w:spacing w:after="0" w:line="253" w:lineRule="auto"/>
        <w:rPr>
          <w:sz w:val="20"/>
          <w:szCs w:val="20"/>
          <w:color w:val="auto"/>
        </w:rPr>
      </w:pPr>
      <w:r>
        <w:rPr>
          <w:rFonts w:ascii="Times New Roman" w:cs="Times New Roman" w:eastAsia="Times New Roman" w:hAnsi="Times New Roman"/>
          <w:sz w:val="14"/>
          <w:szCs w:val="14"/>
          <w:color w:val="auto"/>
        </w:rPr>
        <w:t>The notes are our unsecured general obligations, ranking equally with other unsecured and unsubordinated indebtedness. As of March 31, 2026, we had $1.90 billion of unsecured senior notes but no amounts under our revolving credit facility outstanding. The indenture governing the notes permits us to incur additional debt, including secured debt. If we incur any secured debt, our assets will be subject to prior claims by our secured creditors. In the event of our bankruptcy, liquidation, reorganization or other winding up, assets that secure debt will be available to pay obligations on the notes only after all debt secured by those assets has been repaid in full. Holders of the notes will participate in our remaining assets ratably with all of our unsecured and unsubordinated creditors, including our trade creditors. If we incur any additional obligations that rank equally with the notes, including trade payables, the holders of those obligations will be entitled to share ratably with the holders of the notes and the previously issued notes in any proceeds distributed upon our insolvency, liquidation, reorganization, dissolution or other winding up. This may have the effect of reducing the amount of proceeds paid to you. If there are not sufficient assets remaining to pay all these creditors, all or a portion of the notes then outstanding would remain unpaid.</w:t>
      </w:r>
    </w:p>
    <w:p>
      <w:pPr>
        <w:spacing w:after="0" w:line="143" w:lineRule="exact"/>
        <w:rPr>
          <w:sz w:val="20"/>
          <w:szCs w:val="20"/>
          <w:color w:val="auto"/>
        </w:rPr>
      </w:pPr>
    </w:p>
    <w:p>
      <w:pPr>
        <w:ind w:left="1380" w:right="539" w:firstLine="341"/>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The indenture governing the notes does not contain financial covenants and only provides limited protection against significant corporate events and other actions we may take that could adversely impact your investment in the notes.</w:t>
      </w:r>
    </w:p>
    <w:p>
      <w:pPr>
        <w:spacing w:after="0" w:line="123" w:lineRule="exact"/>
        <w:rPr>
          <w:sz w:val="20"/>
          <w:szCs w:val="20"/>
          <w:color w:val="auto"/>
        </w:rPr>
      </w:pPr>
    </w:p>
    <w:p>
      <w:pPr>
        <w:ind w:left="1380" w:right="419" w:firstLine="341"/>
        <w:spacing w:after="0" w:line="281" w:lineRule="auto"/>
        <w:rPr>
          <w:sz w:val="20"/>
          <w:szCs w:val="20"/>
          <w:color w:val="auto"/>
        </w:rPr>
      </w:pPr>
      <w:r>
        <w:rPr>
          <w:rFonts w:ascii="Times New Roman" w:cs="Times New Roman" w:eastAsia="Times New Roman" w:hAnsi="Times New Roman"/>
          <w:sz w:val="14"/>
          <w:szCs w:val="14"/>
          <w:color w:val="auto"/>
        </w:rPr>
        <w:t>While the indenture governing the notes contains terms intended to provide protection to the holders of the notes upon the occurrence of certain events involving significant corporate transactions, such terms are limited and may not be sufficient to protect your investment in the notes.</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indenture for the notes does not:</w:t>
      </w:r>
    </w:p>
    <w:p>
      <w:pPr>
        <w:spacing w:after="0" w:line="101" w:lineRule="exact"/>
        <w:rPr>
          <w:sz w:val="20"/>
          <w:szCs w:val="20"/>
          <w:color w:val="auto"/>
        </w:rPr>
      </w:pPr>
    </w:p>
    <w:p>
      <w:pPr>
        <w:ind w:left="2120" w:right="419" w:hanging="327"/>
        <w:spacing w:after="0" w:line="281" w:lineRule="auto"/>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maintain any financial ratios or specific levels of net worth, revenues, income, cash flow or liquidity and, accordingly, does not protect holders of the notes in the event we experience significant adverse changes in our financial condition;</w:t>
      </w:r>
    </w:p>
    <w:p>
      <w:pPr>
        <w:spacing w:after="0" w:line="52" w:lineRule="exact"/>
        <w:rPr>
          <w:rFonts w:ascii="Times New Roman" w:cs="Times New Roman" w:eastAsia="Times New Roman" w:hAnsi="Times New Roman"/>
          <w:sz w:val="14"/>
          <w:szCs w:val="14"/>
          <w:color w:val="auto"/>
        </w:rPr>
      </w:pPr>
    </w:p>
    <w:p>
      <w:pPr>
        <w:ind w:left="2120" w:right="679" w:hanging="327"/>
        <w:spacing w:after="0" w:line="281" w:lineRule="auto"/>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subsidiaries’ ability to issue securities or otherwise incur indebtedness that would be senior to our equity interests in our subsidiaries and therefore rank effectively senior to the notes;</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repurchase or prepay any other of our securities or other indebtedness;</w:t>
      </w:r>
    </w:p>
    <w:p>
      <w:pPr>
        <w:spacing w:after="0" w:line="100" w:lineRule="exact"/>
        <w:rPr>
          <w:rFonts w:ascii="Times New Roman" w:cs="Times New Roman" w:eastAsia="Times New Roman" w:hAnsi="Times New Roman"/>
          <w:sz w:val="14"/>
          <w:szCs w:val="14"/>
          <w:color w:val="auto"/>
        </w:rPr>
      </w:pPr>
    </w:p>
    <w:p>
      <w:pPr>
        <w:ind w:left="2120" w:right="299" w:hanging="327"/>
        <w:spacing w:after="0" w:line="281" w:lineRule="auto"/>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make investments or to repurchase or pay dividends or make other payments in respect of our common stock or other securities ranking junior to the notes; or</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enter into highly leveraged transactions.</w:t>
      </w:r>
    </w:p>
    <w:p>
      <w:pPr>
        <w:spacing w:after="0" w:line="174" w:lineRule="exact"/>
        <w:rPr>
          <w:sz w:val="20"/>
          <w:szCs w:val="20"/>
          <w:color w:val="auto"/>
        </w:rPr>
      </w:pPr>
    </w:p>
    <w:p>
      <w:pPr>
        <w:ind w:left="1380" w:right="459" w:firstLine="341"/>
        <w:spacing w:after="0" w:line="265" w:lineRule="auto"/>
        <w:rPr>
          <w:sz w:val="20"/>
          <w:szCs w:val="20"/>
          <w:color w:val="auto"/>
        </w:rPr>
      </w:pPr>
      <w:r>
        <w:rPr>
          <w:rFonts w:ascii="Times New Roman" w:cs="Times New Roman" w:eastAsia="Times New Roman" w:hAnsi="Times New Roman"/>
          <w:sz w:val="14"/>
          <w:szCs w:val="14"/>
          <w:color w:val="auto"/>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spacing w:after="0" w:line="134" w:lineRule="exact"/>
        <w:rPr>
          <w:sz w:val="20"/>
          <w:szCs w:val="20"/>
          <w:color w:val="auto"/>
        </w:rPr>
      </w:pPr>
    </w:p>
    <w:p>
      <w:pPr>
        <w:ind w:left="1380" w:right="499" w:firstLine="341"/>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We are not contractually committed to allocate the net proceeds from the 2036 blue notes to Eligible Blue Projects, and our failure to do so could adversely impact the value of the 2036 blue notes.</w:t>
      </w:r>
    </w:p>
    <w:p>
      <w:pPr>
        <w:spacing w:after="0" w:line="123" w:lineRule="exact"/>
        <w:rPr>
          <w:sz w:val="20"/>
          <w:szCs w:val="20"/>
          <w:color w:val="auto"/>
        </w:rPr>
      </w:pPr>
    </w:p>
    <w:p>
      <w:pPr>
        <w:ind w:left="1380" w:right="479" w:firstLine="341"/>
        <w:spacing w:after="0" w:line="281" w:lineRule="auto"/>
        <w:rPr>
          <w:sz w:val="20"/>
          <w:szCs w:val="20"/>
          <w:color w:val="auto"/>
        </w:rPr>
      </w:pPr>
      <w:r>
        <w:rPr>
          <w:rFonts w:ascii="Times New Roman" w:cs="Times New Roman" w:eastAsia="Times New Roman" w:hAnsi="Times New Roman"/>
          <w:sz w:val="14"/>
          <w:szCs w:val="14"/>
          <w:color w:val="auto"/>
        </w:rPr>
        <w:t>The market price of the 2036 blue notes may be impacted by any failure by us to allocate the net proceeds from the 2036 blue notes to Eligible Blue Projects (as defined in “Use of Proceeds”), or to meet or continue to</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spacing w:after="0" w:line="255" w:lineRule="auto"/>
        <w:rPr>
          <w:sz w:val="20"/>
          <w:szCs w:val="20"/>
          <w:color w:val="auto"/>
        </w:rPr>
      </w:pPr>
      <w:r>
        <w:rPr>
          <w:rFonts w:ascii="Times New Roman" w:cs="Times New Roman" w:eastAsia="Times New Roman" w:hAnsi="Times New Roman"/>
          <w:sz w:val="14"/>
          <w:szCs w:val="14"/>
          <w:color w:val="auto"/>
        </w:rPr>
        <w:t>meet the investment requirements of certain environmentally focused investors with respect to the 2036 blue notes. Although we intend to allocate an amount equal to the net proceeds from the 2036 blue notes to Eligible Blue Projects as described in “Use of Proceeds,” we cannot provide any assurance that such use of proceeds will be capable of being implemented in such manner or in accordance with any timing schedule, and it will not be an event of default under the indenture or the supplemental indenture governing the 2036 blue notes if we fail to do so. Furthermore, we cannot provide any assurance that such Eligible Blue Projects will be completed within any specified time period or at all, or that such Eligible Blue Projects will achieve the results or outcome (whether or not related to the environment) originally expected or anticipated by us.</w:t>
      </w:r>
    </w:p>
    <w:p>
      <w:pPr>
        <w:spacing w:after="0" w:line="146" w:lineRule="exact"/>
        <w:rPr>
          <w:sz w:val="20"/>
          <w:szCs w:val="20"/>
          <w:color w:val="auto"/>
        </w:rPr>
      </w:pPr>
    </w:p>
    <w:p>
      <w:pPr>
        <w:ind w:left="1380" w:right="279" w:firstLine="341"/>
        <w:spacing w:after="0" w:line="252" w:lineRule="auto"/>
        <w:rPr>
          <w:sz w:val="20"/>
          <w:szCs w:val="20"/>
          <w:color w:val="auto"/>
        </w:rPr>
      </w:pPr>
      <w:r>
        <w:rPr>
          <w:rFonts w:ascii="Times New Roman" w:cs="Times New Roman" w:eastAsia="Times New Roman" w:hAnsi="Times New Roman"/>
          <w:sz w:val="14"/>
          <w:szCs w:val="14"/>
          <w:color w:val="auto"/>
        </w:rPr>
        <w:t>In connection with this offering, a second party opinion from an outside consultant regarding our Blue and Green Finance Framework (the “Blue and Green Finance Framework”) has been made publicly available. Any such second party opinion is not and should not be deemed a part of this prospectus supplement, the accompanying prospectus or any other report or filing filed with the SEC. No assurance or representation is given by us or any joint book-running manager or co-manager as to the suitability or reliability for any purpose of any such second party opinion. Furthermore, such second party opinion is not, and should not be deemed to be, a recommendation by us or any other person to buy, sell or hold the 2036 blue notes. Any second party opinion is only current as of the date that such opinion was initially issued, and such second party opinion is not, nor shall it be deemed to be, incorporated in or form a part of this prospectus. Prospective investors must determine for themselves the relevance of any second party opinion or certification and/or the information contained therein and/or the provider of such opinion or certification for the purpose of any investment in the 2036 blue notes. Currently, to our knowledge, the providers of such opinions and certifications are not subject to any specific regulatory or other regime or oversight. Any withdrawal of any such opinion or any additional opinion or certification attesting that we are not complying in whole or in part with any matters for which such opinion or certification is opining or certifying may have a material adverse effect on the value of the 2036 blue notes and/or result in adverse consequences for certain investors with mandates to invest in securities to be used for a particular purpose. None of the underwriters in this offering is responsible for the ongoing monitoring of the use of proceeds in respect of the 2036 blue notes.</w:t>
      </w:r>
    </w:p>
    <w:p>
      <w:pPr>
        <w:spacing w:after="0" w:line="145" w:lineRule="exact"/>
        <w:rPr>
          <w:sz w:val="20"/>
          <w:szCs w:val="20"/>
          <w:color w:val="auto"/>
        </w:rPr>
      </w:pPr>
    </w:p>
    <w:p>
      <w:pPr>
        <w:ind w:left="1380" w:right="579" w:firstLine="341"/>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We may invest or spend the net proceeds from the 2036 blue notes in ways with which you may not agree and in ways that may not earn a profit.</w:t>
      </w:r>
    </w:p>
    <w:p>
      <w:pPr>
        <w:spacing w:after="0" w:line="123" w:lineRule="exact"/>
        <w:rPr>
          <w:sz w:val="20"/>
          <w:szCs w:val="20"/>
          <w:color w:val="auto"/>
        </w:rPr>
      </w:pPr>
    </w:p>
    <w:p>
      <w:pPr>
        <w:jc w:val="both"/>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We intend to allocate an amount equal to the net proceeds from the sale of the 2036 blue notes to a portfolio of Eligible Blue Projects. We intend to use the net proceeds from the 2036 blue notes as described in “Use of Proceeds,” but because the net proceeds are not required to be allocated to any specific investment or transaction, we cannot determine at this time the value or propriety of our application of the net proceeds, and you may not agree with our decisions. In addition, our use of the net proceeds from this offering may not yield a significant return or any return at all.</w:t>
      </w:r>
    </w:p>
    <w:p>
      <w:pPr>
        <w:spacing w:after="0" w:line="140" w:lineRule="exact"/>
        <w:rPr>
          <w:sz w:val="20"/>
          <w:szCs w:val="20"/>
          <w:color w:val="auto"/>
        </w:rPr>
      </w:pPr>
    </w:p>
    <w:p>
      <w:pPr>
        <w:ind w:left="1380" w:right="239" w:firstLine="341"/>
        <w:spacing w:after="0" w:line="252" w:lineRule="auto"/>
        <w:rPr>
          <w:sz w:val="20"/>
          <w:szCs w:val="20"/>
          <w:color w:val="auto"/>
        </w:rPr>
      </w:pPr>
      <w:r>
        <w:rPr>
          <w:rFonts w:ascii="Times New Roman" w:cs="Times New Roman" w:eastAsia="Times New Roman" w:hAnsi="Times New Roman"/>
          <w:sz w:val="14"/>
          <w:szCs w:val="14"/>
          <w:color w:val="auto"/>
        </w:rPr>
        <w:t>There can be no assurance that the Eligible Blue Projects funded with the net proceeds from this offering will meet investor criteria and expectations regarding environmental impact and sustainability performance. Any information that we provide concerning the environmental and/or social impacts of the 2036 blue notes will be estimates determined by our management to the best of their ability based on the information available to them at such time. The determinations giving rise to such impact information are inherently imprecise and should not be taken as statements of fact. Furthermore, the underwriters are not responsible for assessing or verifying whether the Eligible Blue Projects meet the prescribed eligibility criteria. In particular, no assurance is given by us or any joint book-running manager or co-manager that the use of such proceeds for any Eligible Blue Projects will satisfy, whether in whole or in part, any present or future investor expectations or requirements as regards any investment criteria or guidelines with which such investor or its investments are required to comply, whether by any present or future applicable law or regulations or by its own bylaws or other governing rules or investment portfolio mandates (in particular with regard to any direct or indirect environmental, sustainability or social impact of any Eligible Blue Projects or uses, the subject of or related to, the relevant Eligible Blue Projects). Perception by investors of the suitability of the 2036 blue notes as “blue” bonds could also be negatively affected</w:t>
      </w:r>
    </w:p>
    <w:p>
      <w:pPr>
        <w:spacing w:after="0" w:line="9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spacing w:after="0" w:line="260" w:lineRule="auto"/>
        <w:rPr>
          <w:sz w:val="20"/>
          <w:szCs w:val="20"/>
          <w:color w:val="auto"/>
        </w:rPr>
      </w:pPr>
      <w:r>
        <w:rPr>
          <w:rFonts w:ascii="Times New Roman" w:cs="Times New Roman" w:eastAsia="Times New Roman" w:hAnsi="Times New Roman"/>
          <w:sz w:val="14"/>
          <w:szCs w:val="14"/>
          <w:color w:val="auto"/>
        </w:rPr>
        <w:t>by dissatisfaction with our implementation of the Blue and Green Finance Framework for determining Eligible Blue Project described under “Use of Proceeds,” controversies involving the environmental or sustainability impact of our business or industry, evolving standards or market consensus as to what constitutes a “blue” bond or the desirability of investing in “blue bonds or any opinion or certification as to the suitability of the 2036 blue notes as “blue” bonds no longer being in effect.</w:t>
      </w:r>
    </w:p>
    <w:p>
      <w:pPr>
        <w:spacing w:after="0" w:line="140" w:lineRule="exact"/>
        <w:rPr>
          <w:sz w:val="20"/>
          <w:szCs w:val="20"/>
          <w:color w:val="auto"/>
        </w:rPr>
      </w:pPr>
    </w:p>
    <w:p>
      <w:pPr>
        <w:ind w:left="1380" w:right="239" w:firstLine="341"/>
        <w:spacing w:after="0" w:line="254" w:lineRule="auto"/>
        <w:rPr>
          <w:sz w:val="20"/>
          <w:szCs w:val="20"/>
          <w:color w:val="auto"/>
        </w:rPr>
      </w:pPr>
      <w:r>
        <w:rPr>
          <w:rFonts w:ascii="Times New Roman" w:cs="Times New Roman" w:eastAsia="Times New Roman" w:hAnsi="Times New Roman"/>
          <w:sz w:val="14"/>
          <w:szCs w:val="14"/>
          <w:color w:val="auto"/>
        </w:rPr>
        <w:t>The trading price of the 2036 blue notes may be negatively affected to the extent investors are required or choose to sell their holdings due to deterioration in the perception by the investor or the market in general as to the suitability of this offering as “blue” bonds and to the extent demand for sustainability-themed investment products diminishes due to evolving investor preferences, increased regulatory or market scrutiny on funds and strategies dedicated to sustainability or environmental, social or governance themed investing or for other reasons. Adverse environmental, sustainability or social impacts may also occur during the design, development and operation of the Eligible Blue Projects or the Eligible Blue Projects may become controversial or criticized by activist groups or other stakeholders. In addition, although we intend to limit the use of the net proceeds from the 2036 blue notes to Eligible Blue Projects, there can be no assurance that one or more development, redevelopment and/or tenant improvement Eligible Blue Projects will meet the goals described in “Use of Proceeds”.</w:t>
      </w:r>
    </w:p>
    <w:p>
      <w:pPr>
        <w:spacing w:after="0" w:line="226" w:lineRule="exact"/>
        <w:rPr>
          <w:sz w:val="20"/>
          <w:szCs w:val="20"/>
          <w:color w:val="auto"/>
        </w:rPr>
      </w:pPr>
    </w:p>
    <w:p>
      <w:pPr>
        <w:ind w:left="1380" w:right="299" w:firstLine="341"/>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There is no legal, regulatory, or market definition of or standardized criteria for what constitutes a “green,” “blue,” “social,” “sustainable,” or other equivalently labeled project, and any such designations made by third parties with respect to the 2036 blue notes may not be suitable for the investment criteria of an investor.</w:t>
      </w:r>
    </w:p>
    <w:p>
      <w:pPr>
        <w:spacing w:after="0" w:line="136" w:lineRule="exact"/>
        <w:rPr>
          <w:sz w:val="20"/>
          <w:szCs w:val="20"/>
          <w:color w:val="auto"/>
        </w:rPr>
      </w:pPr>
    </w:p>
    <w:p>
      <w:pPr>
        <w:ind w:left="1380" w:right="339" w:firstLine="341"/>
        <w:spacing w:after="0" w:line="253" w:lineRule="auto"/>
        <w:rPr>
          <w:sz w:val="20"/>
          <w:szCs w:val="20"/>
          <w:color w:val="auto"/>
        </w:rPr>
      </w:pPr>
      <w:r>
        <w:rPr>
          <w:rFonts w:ascii="Times New Roman" w:cs="Times New Roman" w:eastAsia="Times New Roman" w:hAnsi="Times New Roman"/>
          <w:sz w:val="14"/>
          <w:szCs w:val="14"/>
          <w:color w:val="auto"/>
        </w:rPr>
        <w:t>There is currently no clearly defined definition (legal, regulatory or otherwise) of, nor market consensus as to what constitutes, a “green,” “blue,” “social,” “sustainable” or an equivalently labeled project, or as to what precise attributes are required for a particular project to be defined as “green,” “blue,” “sustainable” or such other equivalent label, nor can we provide any assurance that such a clear definition or consensus will develop over time. Accordingly, although we anticipate that our Eligible Projects will be aligned with the Green Bond Principles of June 2025 administered by the International Capital Market Association (the “Principles”), which are voluntary guidelines for the issuance of green bonds, which blue bonds are a subset of, we cannot provide any assurance to investors that any Eligible Blue Projects selected to receive an allocation of funds from the net proceeds of the 2036 blue notes will meet any or all investor expectations regarding such “green,” “blue,” “social,” “sustainable” or other equivalently-labeled performance objectives, or that any adverse environmental, social and/or other impacts will not occur during the implementation of any Eligible Blue Projects funded in whole or in part by the net proceeds from the sale of the 2036 blue notes.</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6"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We estimate that the net proceeds from the sale of the notes will be approximately $989,945,048 after deducting the underwriting discounts and our estimated expenses of this offering. We intend to use the net proceeds from the sale of the 2033 notes to repay or redeem our $500 million aggregate principal amount of 3.250% Senior Notes maturing on November 1, 2026 at or prior to maturity and for general corporate purposes. We intend to allocate an amount equal to the net proceeds from the sale of the 2036 blue notes to finance and/or refinance, in whole or in part, a portfolio of Eligible Blue Projects.</w:t>
      </w:r>
    </w:p>
    <w:p>
      <w:pPr>
        <w:spacing w:after="0" w:line="143" w:lineRule="exact"/>
        <w:rPr>
          <w:sz w:val="20"/>
          <w:szCs w:val="20"/>
          <w:color w:val="auto"/>
        </w:rPr>
      </w:pPr>
    </w:p>
    <w:p>
      <w:pPr>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“Eligible Blue Projects”, as defined in the Blue and Green Finance Framework, are investments and expenditures made by Xylem or any of its subsidiaries up to three years prior to the issuance of the notes, and up to two years following the issuance of the notes. The Blue and Green Finance Framework has been prepared in alignment with the Principles, voluntary guidelines for the issuance of green bonds, of which the 2036 blue notes are a subset.</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Eligible Blue Projects categories include:</w:t>
      </w:r>
    </w:p>
    <w:p>
      <w:pPr>
        <w:spacing w:after="0" w:line="101" w:lineRule="exact"/>
        <w:rPr>
          <w:sz w:val="20"/>
          <w:szCs w:val="20"/>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Water and Wastewater Treatment</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Water Efficiency</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Water Supply</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Pollution Prevention and Control</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Disaster Preparation and Response</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 and Shipping;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Monitoring.</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Eligibility criteria for each category are detailed in the Blue and Green Finance Framework.</w:t>
      </w:r>
    </w:p>
    <w:p>
      <w:pPr>
        <w:spacing w:after="0" w:line="174"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Eligible expenditures and investments may include capital expenditures, operating expenditures, acquisitions to the extent such acquisitions are equity investments for the acquisition of a controlling stake in “pure-players” whose shares are either not publicly traded, or that are newly issued in the primary markets, as well as R&amp;D. No expenditures or investments directly related to fossil fuels production, refining and power generation will knowingly be included under the Blue and Green Finance Framework. In cases where the end-users and beneficiaries of our Eligible Blue Projects are not traceable, we may allocate proceeds using a pro-rata approach based on the revenue generated from each industry vertical.</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Process for Project Evaluation and Selection</w:t>
      </w:r>
    </w:p>
    <w:p>
      <w:pPr>
        <w:spacing w:after="0" w:line="92"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Sustainability Reporting and Sustainable Finance Committee (the “Committee”), as disclosed in the Blue and Green Finance Framework, oversees the evaluation, selection, and monitoring of Xylem’s portfolio of Eligible Blue Projects. The Committee will seek to identify Eligible Blue Projects in line with the criteria of the Blue and Green Finance Framework, review and monitor the continuous compliance of Eligible Blue Projects, and exclude Eligible Blue Projects that no longer comply with the eligibility criteria or have been postponed, cancelled, divested, and replace them as soon as reasonably practicable, on a best-efforts basis.</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Management of Proceeds</w:t>
      </w:r>
    </w:p>
    <w:p>
      <w:pPr>
        <w:spacing w:after="0" w:line="92" w:lineRule="exact"/>
        <w:rPr>
          <w:sz w:val="20"/>
          <w:szCs w:val="20"/>
          <w:color w:val="auto"/>
        </w:rPr>
      </w:pPr>
    </w:p>
    <w:p>
      <w:pPr>
        <w:ind w:left="1380" w:right="279" w:firstLine="341"/>
        <w:spacing w:after="0" w:line="281" w:lineRule="auto"/>
        <w:rPr>
          <w:sz w:val="20"/>
          <w:szCs w:val="20"/>
          <w:color w:val="auto"/>
        </w:rPr>
      </w:pPr>
      <w:r>
        <w:rPr>
          <w:rFonts w:ascii="Times New Roman" w:cs="Times New Roman" w:eastAsia="Times New Roman" w:hAnsi="Times New Roman"/>
          <w:sz w:val="14"/>
          <w:szCs w:val="14"/>
          <w:color w:val="auto"/>
        </w:rPr>
        <w:t>Pending allocation for such purposes, we intend to hold and/or invest the balance of net proceeds not yet allocated to the portfolio of Eligible Blue Projects in our treasury liquidity portfolio, or in cash or other short-term and liquid instruments.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Reporting</w:t>
      </w:r>
    </w:p>
    <w:p>
      <w:pPr>
        <w:spacing w:after="0" w:line="92" w:lineRule="exact"/>
        <w:rPr>
          <w:sz w:val="20"/>
          <w:szCs w:val="20"/>
          <w:color w:val="auto"/>
        </w:rPr>
      </w:pPr>
    </w:p>
    <w:p>
      <w:pPr>
        <w:ind w:left="1380" w:right="259" w:firstLine="341"/>
        <w:spacing w:after="0" w:line="279" w:lineRule="auto"/>
        <w:rPr>
          <w:sz w:val="20"/>
          <w:szCs w:val="20"/>
          <w:color w:val="auto"/>
        </w:rPr>
      </w:pPr>
      <w:r>
        <w:rPr>
          <w:rFonts w:ascii="Times New Roman" w:cs="Times New Roman" w:eastAsia="Times New Roman" w:hAnsi="Times New Roman"/>
          <w:sz w:val="13"/>
          <w:szCs w:val="13"/>
          <w:color w:val="auto"/>
        </w:rPr>
        <w:t>Within one year of completion of this offering and until full allocation of an amount equal to the net proceeds from the sale of the 2036 blue notes, we intend to prepare a Blue and Green Financing Report (the “Blue and Green Financing Report”) that will show the allocation of the proceeds of this offering and the impact of the portfolio of Eligible Blue Projects. To the extent practicable, the report will include: (i) the total amount of investments and expenditures in the portfolio of Eligible Blue Projects, (ii) the aggregated amount allocated to the Eligible Blue Projects at category level, (iii) the regional distribution of Eligible Blue Projects (if applicable), (iii) the balance of unallocated proceeds, and (iv) the portion of financing and refinancing, including the split between new and existing projects. The report may also include metrics regarding the environmental impact of Eligible Blue Projects.</w:t>
      </w:r>
    </w:p>
    <w:p>
      <w:pPr>
        <w:spacing w:after="0" w:line="129" w:lineRule="exact"/>
        <w:rPr>
          <w:sz w:val="20"/>
          <w:szCs w:val="20"/>
          <w:color w:val="auto"/>
        </w:rPr>
      </w:pPr>
    </w:p>
    <w:p>
      <w:pPr>
        <w:ind w:left="1380" w:right="339" w:firstLine="341"/>
        <w:spacing w:after="0" w:line="281" w:lineRule="auto"/>
        <w:rPr>
          <w:sz w:val="20"/>
          <w:szCs w:val="20"/>
          <w:color w:val="auto"/>
        </w:rPr>
      </w:pPr>
      <w:r>
        <w:rPr>
          <w:rFonts w:ascii="Times New Roman" w:cs="Times New Roman" w:eastAsia="Times New Roman" w:hAnsi="Times New Roman"/>
          <w:sz w:val="14"/>
          <w:szCs w:val="14"/>
          <w:color w:val="auto"/>
        </w:rPr>
        <w:t>We intend to make the Blue and Green Financing Report available on our website. Information contained on our website is not and should not be deemed a part of this prospectus supplement, the accompanying prospectus or any other report or filing filed with the SEC.</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6" w:lineRule="exact"/>
        <w:rPr>
          <w:sz w:val="20"/>
          <w:szCs w:val="20"/>
          <w:color w:val="auto"/>
        </w:rPr>
      </w:pPr>
    </w:p>
    <w:p>
      <w:pPr>
        <w:ind w:left="1380" w:right="419" w:firstLine="341"/>
        <w:spacing w:after="0" w:line="260" w:lineRule="auto"/>
        <w:rPr>
          <w:sz w:val="20"/>
          <w:szCs w:val="20"/>
          <w:color w:val="auto"/>
        </w:rPr>
      </w:pPr>
      <w:r>
        <w:rPr>
          <w:rFonts w:ascii="Times New Roman" w:cs="Times New Roman" w:eastAsia="Times New Roman" w:hAnsi="Times New Roman"/>
          <w:sz w:val="14"/>
          <w:szCs w:val="14"/>
          <w:color w:val="auto"/>
        </w:rPr>
        <w:t>The table below sets forth our consolidated capitalization as of March 31, 2026, on an actual basis and as adjusted to give effect to the issuance and sale of the notes offered hereby and the application of the net proceeds from the sale of the notes as described under “Use of Proceeds” (assuming the net proceeds of this offering are initially held as cash or cash equivalents); however, neither the “Actual” nor the “As Adjusted” column reflects issuances under our existing commercial paper program subsequent to March 31, 2026.</w:t>
      </w:r>
    </w:p>
    <w:p>
      <w:pPr>
        <w:spacing w:after="0" w:line="140" w:lineRule="exact"/>
        <w:rPr>
          <w:sz w:val="20"/>
          <w:szCs w:val="20"/>
          <w:color w:val="auto"/>
        </w:rPr>
      </w:pPr>
    </w:p>
    <w:p>
      <w:pPr>
        <w:ind w:left="1380" w:right="359" w:firstLine="341"/>
        <w:spacing w:after="0" w:line="281" w:lineRule="auto"/>
        <w:rPr>
          <w:sz w:val="20"/>
          <w:szCs w:val="20"/>
          <w:color w:val="auto"/>
        </w:rPr>
      </w:pPr>
      <w:r>
        <w:rPr>
          <w:rFonts w:ascii="Times New Roman" w:cs="Times New Roman" w:eastAsia="Times New Roman" w:hAnsi="Times New Roman"/>
          <w:sz w:val="14"/>
          <w:szCs w:val="14"/>
          <w:color w:val="auto"/>
        </w:rPr>
        <w:t>You should read the table together with our consolidated financial statements and the notes thereto incorporated by reference into this prospectus supplement and the accompanying prospectus.</w:t>
      </w:r>
    </w:p>
    <w:p>
      <w:pPr>
        <w:spacing w:after="0" w:line="142" w:lineRule="exact"/>
        <w:rPr>
          <w:sz w:val="20"/>
          <w:szCs w:val="20"/>
          <w:color w:val="auto"/>
        </w:rPr>
      </w:pPr>
    </w:p>
    <w:tbl>
      <w:tblPr>
        <w:tblLayout w:type="fixed"/>
        <w:tblInd w:w="2400" w:type="dxa"/>
        <w:tblCellMar>
          <w:top w:w="0" w:type="dxa"/>
          <w:left w:w="0" w:type="dxa"/>
          <w:bottom w:w="0" w:type="dxa"/>
          <w:right w:w="0" w:type="dxa"/>
        </w:tblCellMar>
      </w:tblPr>
      <w:tr>
        <w:trPr>
          <w:trHeight w:val="134"/>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6"/>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0" w:type="dxa"/>
            <w:vAlign w:val="bottom"/>
          </w:tcPr>
          <w:p>
            <w:pPr>
              <w:spacing w:after="0"/>
              <w:rPr>
                <w:sz w:val="1"/>
                <w:szCs w:val="1"/>
                <w:color w:val="auto"/>
              </w:rPr>
            </w:pPr>
          </w:p>
        </w:tc>
      </w:tr>
      <w:tr>
        <w:trPr>
          <w:trHeight w:val="106"/>
        </w:trPr>
        <w:tc>
          <w:tcPr>
            <w:tcW w:w="4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Actual</w:t>
            </w:r>
          </w:p>
        </w:tc>
        <w:tc>
          <w:tcPr>
            <w:tcW w:w="2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6"/>
              </w:rPr>
              <w:t>As Adjusted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5"/>
          </w:tcPr>
          <w:p>
            <w:pPr>
              <w:jc w:val="right"/>
              <w:ind w:right="150"/>
              <w:spacing w:after="0" w:line="106" w:lineRule="exact"/>
              <w:rPr>
                <w:sz w:val="20"/>
                <w:szCs w:val="20"/>
                <w:color w:val="auto"/>
              </w:rPr>
            </w:pPr>
            <w:r>
              <w:rPr>
                <w:rFonts w:ascii="Times New Roman" w:cs="Times New Roman" w:eastAsia="Times New Roman" w:hAnsi="Times New Roman"/>
                <w:sz w:val="11"/>
                <w:szCs w:val="11"/>
                <w:b w:val="1"/>
                <w:bCs w:val="1"/>
                <w:color w:val="auto"/>
              </w:rPr>
              <w:t>(amounts in millions)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808</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1,798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Debt included in current liabilities:</w:t>
            </w: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Short-term borrowings and current maturities of long-term debt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531</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67"/>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Debt included in long-term liabilities: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2033 notes offered hereby</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2036 blue notes offered hereby</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53"/>
        </w:trPr>
        <w:tc>
          <w:tcPr>
            <w:tcW w:w="4740" w:type="dxa"/>
            <w:vAlign w:val="bottom"/>
            <w:shd w:val="clear" w:color="auto" w:fill="CCEEFF"/>
          </w:tcPr>
          <w:p>
            <w:pPr>
              <w:ind w:left="280"/>
              <w:spacing w:after="0" w:line="153" w:lineRule="exact"/>
              <w:rPr>
                <w:sz w:val="20"/>
                <w:szCs w:val="20"/>
                <w:color w:val="auto"/>
              </w:rPr>
            </w:pPr>
            <w:r>
              <w:rPr>
                <w:rFonts w:ascii="Times New Roman" w:cs="Times New Roman" w:eastAsia="Times New Roman" w:hAnsi="Times New Roman"/>
                <w:sz w:val="14"/>
                <w:szCs w:val="14"/>
                <w:color w:val="auto"/>
              </w:rPr>
              <w:t>Long-term debt, excluding current maturities (net of debt issuance costs and</w:t>
            </w:r>
          </w:p>
        </w:tc>
        <w:tc>
          <w:tcPr>
            <w:tcW w:w="2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unamortized discount of approximately $12)</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Total debt</w:t>
            </w:r>
          </w:p>
        </w:tc>
        <w:tc>
          <w:tcPr>
            <w:tcW w:w="24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10,972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10,972</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Total debt and stockholders’ equity</w:t>
            </w: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12,910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3120"/>
              <w:spacing w:after="0"/>
              <w:rPr>
                <w:sz w:val="20"/>
                <w:szCs w:val="20"/>
                <w:color w:val="auto"/>
              </w:rPr>
            </w:pPr>
            <w:r>
              <w:rPr>
                <w:rFonts w:ascii="Times New Roman" w:cs="Times New Roman" w:eastAsia="Times New Roman" w:hAnsi="Times New Roman"/>
                <w:sz w:val="14"/>
                <w:szCs w:val="14"/>
                <w:color w:val="auto"/>
              </w:rPr>
              <w:t>S-15</w:t>
            </w: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74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NOTES</w:t>
      </w:r>
    </w:p>
    <w:p>
      <w:pPr>
        <w:spacing w:after="0" w:line="174" w:lineRule="exact"/>
        <w:rPr>
          <w:sz w:val="20"/>
          <w:szCs w:val="20"/>
          <w:color w:val="auto"/>
        </w:rPr>
      </w:pPr>
    </w:p>
    <w:p>
      <w:pPr>
        <w:ind w:left="1380" w:right="279" w:firstLine="341"/>
        <w:spacing w:after="0" w:line="255" w:lineRule="auto"/>
        <w:rPr>
          <w:sz w:val="20"/>
          <w:szCs w:val="20"/>
          <w:color w:val="auto"/>
        </w:rPr>
      </w:pPr>
      <w:r>
        <w:rPr>
          <w:rFonts w:ascii="Times New Roman" w:cs="Times New Roman" w:eastAsia="Times New Roman" w:hAnsi="Times New Roman"/>
          <w:sz w:val="14"/>
          <w:szCs w:val="14"/>
          <w:i w:val="1"/>
          <w:iCs w:val="1"/>
          <w:color w:val="auto"/>
        </w:rPr>
        <w:t>We are offering $1,000,000,000 aggregate principal amount of notes, consisting of $500,000,000 aggregate principal amount of 5.200% Senior Notes due 2033, which we refer to as the “2033 notes” and $500,000,000 aggregate principal amount of 5.450% Senior Blue Notes due 2036, which we refer to as the “2036 blue notes.” We refer to both series of the notes offered hereby collectively as the “notes.” The notes will be issued under the senior indenture, dated as of March 11, 2016, which is more fully described in the accompanying prospectus, as supplemented and amended by the first supplemental indenture, dated as of March 11, 2016 as further supplemented by the fifth supplemental indenture to be dated as of May 29, 2026, each between us and Deutsche Bank Trust Company Americas, as trustee. We refer to the senior indenture as so supplemented and amended as the “indenture.”</w:t>
      </w:r>
    </w:p>
    <w:p>
      <w:pPr>
        <w:spacing w:after="0" w:line="226" w:lineRule="exact"/>
        <w:rPr>
          <w:sz w:val="20"/>
          <w:szCs w:val="20"/>
          <w:color w:val="auto"/>
        </w:rPr>
      </w:pPr>
    </w:p>
    <w:p>
      <w:pPr>
        <w:ind w:left="1380" w:right="239" w:firstLine="341"/>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description supplements, and to the extent it is inconsistent with, replaces the description of the general terms and provisions of the debt securities contained in “Description of Debt Securities” in the accompanying prospectus. Because this section is a summary, it does not describe every aspect of the notes and the indenture. This summary is subject to, and qualified in its entirety by reference to, all the provisions of the notes and the indenture, including definitions of certain terms used therein. You may obtain copies of the notes and the indenture by requesting them from us or the trustee.</w:t>
      </w:r>
    </w:p>
    <w:p>
      <w:pPr>
        <w:spacing w:after="0" w:line="223" w:lineRule="exact"/>
        <w:rPr>
          <w:sz w:val="20"/>
          <w:szCs w:val="20"/>
          <w:color w:val="auto"/>
        </w:rPr>
      </w:pPr>
    </w:p>
    <w:p>
      <w:pPr>
        <w:ind w:left="1380" w:right="459" w:firstLine="341"/>
        <w:spacing w:after="0" w:line="266" w:lineRule="auto"/>
        <w:rPr>
          <w:sz w:val="20"/>
          <w:szCs w:val="20"/>
          <w:color w:val="auto"/>
        </w:rPr>
      </w:pPr>
      <w:r>
        <w:rPr>
          <w:rFonts w:ascii="Times New Roman" w:cs="Times New Roman" w:eastAsia="Times New Roman" w:hAnsi="Times New Roman"/>
          <w:sz w:val="14"/>
          <w:szCs w:val="14"/>
          <w:i w:val="1"/>
          <w:iCs w:val="1"/>
          <w:color w:val="auto"/>
        </w:rPr>
        <w:t>In this Description of Notes, the “Company,” “we,” “us,” “our” and similar words refer to Xylem Inc. and not to any of its subsidiaries. Any capitalized terms that are defined in the accompanying prospectus have the same meanings in this section unless a different definition appears in this section.</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Each series of notes:</w:t>
      </w:r>
    </w:p>
    <w:p>
      <w:pPr>
        <w:spacing w:after="0" w:line="101" w:lineRule="exact"/>
        <w:rPr>
          <w:sz w:val="20"/>
          <w:szCs w:val="20"/>
          <w:color w:val="auto"/>
        </w:rPr>
      </w:pPr>
    </w:p>
    <w:p>
      <w:pPr>
        <w:ind w:left="2120" w:hanging="32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senior unsecured obligations of ours;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rank equally with all of our other unsecured and unsubordinated indebtedness from time to time outstanding;</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structurally subordinated to all existing and future obligations of our subsidiaries, including claims with respect to trade payables;</w:t>
      </w:r>
    </w:p>
    <w:p>
      <w:pPr>
        <w:spacing w:after="0" w:line="100" w:lineRule="exact"/>
        <w:rPr>
          <w:rFonts w:ascii="Times New Roman" w:cs="Times New Roman" w:eastAsia="Times New Roman" w:hAnsi="Times New Roman"/>
          <w:sz w:val="14"/>
          <w:szCs w:val="14"/>
          <w:color w:val="auto"/>
        </w:rPr>
      </w:pPr>
    </w:p>
    <w:p>
      <w:pPr>
        <w:ind w:left="2120" w:right="479" w:hanging="327"/>
        <w:spacing w:after="0" w:line="281"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initially be limited to $500,000,000 aggregate principal amount in the case of the 2033 notes and $500,000,000 aggregate principal amount in the case of the 2036 blue notes; and</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issued in minimum denominations of $2,000 and integral multiples of $1,000 in excess thereof.</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Principal, Maturity and Interest</w:t>
      </w:r>
    </w:p>
    <w:p>
      <w:pPr>
        <w:spacing w:after="0" w:line="92" w:lineRule="exact"/>
        <w:rPr>
          <w:sz w:val="20"/>
          <w:szCs w:val="20"/>
          <w:color w:val="auto"/>
        </w:rPr>
      </w:pPr>
    </w:p>
    <w:p>
      <w:pPr>
        <w:jc w:val="both"/>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The 2033 notes will mature on June 1, 2033 and the 2036 blue notes will mature on June 1, 2036 (unless earlier redeemed as described under “— Optional Redemption”). On the maturity date of a series of notes, the holders of the notes of such series will be entitled to receive 100% of the principal amount of the notes of such series.</w:t>
      </w:r>
    </w:p>
    <w:p>
      <w:pPr>
        <w:spacing w:after="0" w:line="136"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The 2033 notes will bear interest at a rate of 5.200% per annum and the 2036 blue notes will bear interest at a rate of 5.450% per annum, May 29, 2026, or from the most recent date to which interest has been paid or provided for (each, an “Interest Payment Date”), payable semi-annually in arrears on June 1 and December 1 of each year, commencing on December 1, 2026 to holders of record at the close of business on the 15th calendar day (whether or not a business day) immediately preceding the Interest Payment Date; provided, however, that interest payable on the maturity date of the notes or any redemption date of the notes shall be payable to the person to whom the principal of such notes shall be payable.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Interest payable on the notes on any Interest Payment Date, redemption date or maturity date shall be computed on the basis of a 360-day year of twelve 30-day months. Interest on the notes will accrue from May 29, 2026.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w:t>
      </w:r>
    </w:p>
    <w:p>
      <w:pPr>
        <w:spacing w:after="0" w:line="146" w:lineRule="exact"/>
        <w:rPr>
          <w:sz w:val="20"/>
          <w:szCs w:val="20"/>
          <w:color w:val="auto"/>
        </w:rPr>
      </w:pPr>
    </w:p>
    <w:p>
      <w:pPr>
        <w:ind w:left="1380" w:right="719" w:firstLine="341"/>
        <w:spacing w:after="0" w:line="281" w:lineRule="auto"/>
        <w:rPr>
          <w:sz w:val="20"/>
          <w:szCs w:val="20"/>
          <w:color w:val="auto"/>
        </w:rPr>
      </w:pPr>
      <w:r>
        <w:rPr>
          <w:rFonts w:ascii="Times New Roman" w:cs="Times New Roman" w:eastAsia="Times New Roman" w:hAnsi="Times New Roman"/>
          <w:sz w:val="14"/>
          <w:szCs w:val="14"/>
          <w:color w:val="auto"/>
        </w:rPr>
        <w:t>Unless otherwise indicated, the term “business day” means any day, other than a Saturday or Sunday, which is not a day on which banking institutions in The City of New York are authorized or required by law or executive order to close.</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2" w:lineRule="exact"/>
        <w:rPr>
          <w:sz w:val="20"/>
          <w:szCs w:val="20"/>
          <w:color w:val="auto"/>
        </w:rPr>
      </w:pPr>
    </w:p>
    <w:p>
      <w:pPr>
        <w:ind w:left="1380" w:right="339" w:firstLine="341"/>
        <w:spacing w:after="0" w:line="281" w:lineRule="auto"/>
        <w:rPr>
          <w:sz w:val="20"/>
          <w:szCs w:val="20"/>
          <w:color w:val="auto"/>
        </w:rPr>
      </w:pPr>
      <w:r>
        <w:rPr>
          <w:rFonts w:ascii="Times New Roman" w:cs="Times New Roman" w:eastAsia="Times New Roman" w:hAnsi="Times New Roman"/>
          <w:sz w:val="14"/>
          <w:szCs w:val="14"/>
          <w:color w:val="auto"/>
        </w:rPr>
        <w:t>Prior to the Applicable Par Call Date, we may redeem the notes of any series at our option, in whole or in part, at any time and from time to time, at a redemption price (expressed as a percentage of principal amount and rounded to three decimal places) equal to the greater of:</w:t>
      </w:r>
    </w:p>
    <w:p>
      <w:pPr>
        <w:spacing w:after="0" w:line="42" w:lineRule="exact"/>
        <w:rPr>
          <w:sz w:val="20"/>
          <w:szCs w:val="20"/>
          <w:color w:val="auto"/>
        </w:rPr>
      </w:pPr>
    </w:p>
    <w:p>
      <w:pPr>
        <w:ind w:left="1720" w:right="379" w:hanging="4"/>
        <w:spacing w:after="0" w:line="276" w:lineRule="auto"/>
        <w:tabs>
          <w:tab w:leader="none" w:pos="1917"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sum of the present values of the remaining scheduled payments of principal and interest on the notes of such series discounted to the relevant redemption date (assuming such notes matured on the Applicable Par Call Date) on a semi-annual basis (assuming a 360-day year consisting of twelve 30-day months) at the Treasury Rate plus 15 basis points for the 2033 notes, and 15 basis points for the 2036 blue notes less</w:t>
      </w:r>
    </w:p>
    <w:p>
      <w:pPr>
        <w:spacing w:after="0" w:line="1" w:lineRule="exact"/>
        <w:rPr>
          <w:rFonts w:ascii="Times New Roman" w:cs="Times New Roman" w:eastAsia="Times New Roman" w:hAnsi="Times New Roman"/>
          <w:sz w:val="13"/>
          <w:szCs w:val="13"/>
          <w:color w:val="auto"/>
        </w:rPr>
      </w:pPr>
    </w:p>
    <w:p>
      <w:pPr>
        <w:ind w:left="17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interest accrued and unpaid to the relevant redemption date, and</w:t>
      </w:r>
    </w:p>
    <w:p>
      <w:pPr>
        <w:spacing w:after="0" w:line="75" w:lineRule="exact"/>
        <w:rPr>
          <w:rFonts w:ascii="Times New Roman" w:cs="Times New Roman" w:eastAsia="Times New Roman" w:hAnsi="Times New Roman"/>
          <w:sz w:val="13"/>
          <w:szCs w:val="13"/>
          <w:color w:val="auto"/>
        </w:rPr>
      </w:pPr>
    </w:p>
    <w:p>
      <w:pPr>
        <w:ind w:left="1920" w:hanging="204"/>
        <w:spacing w:after="0"/>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to be redeemed,</w:t>
      </w:r>
    </w:p>
    <w:p>
      <w:pPr>
        <w:spacing w:after="0" w:line="1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the redemption date.</w:t>
      </w:r>
    </w:p>
    <w:p>
      <w:pPr>
        <w:spacing w:after="0" w:line="174" w:lineRule="exact"/>
        <w:rPr>
          <w:sz w:val="20"/>
          <w:szCs w:val="20"/>
          <w:color w:val="auto"/>
        </w:rPr>
      </w:pPr>
    </w:p>
    <w:p>
      <w:pPr>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On or after the Applicable Par Call Date for a series of notes, we may redeem the notes of such series, in whole or in part, at any time and from time to time, at a redemption price equal to 100% of the principal amount of such notes being redeemed plus accrued and unpaid interest thereon to the relevant redemption date.</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following terms are relevant to the determination of the redemption price.</w:t>
      </w:r>
    </w:p>
    <w:p>
      <w:pPr>
        <w:spacing w:after="0" w:line="1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i w:val="1"/>
          <w:iCs w:val="1"/>
          <w:color w:val="auto"/>
        </w:rPr>
        <w:t xml:space="preserve">“Applicable Par Call Date” </w:t>
      </w:r>
      <w:r>
        <w:rPr>
          <w:rFonts w:ascii="Times New Roman" w:cs="Times New Roman" w:eastAsia="Times New Roman" w:hAnsi="Times New Roman"/>
          <w:sz w:val="14"/>
          <w:szCs w:val="14"/>
          <w:color w:val="auto"/>
        </w:rPr>
        <w:t>means:</w:t>
      </w:r>
    </w:p>
    <w:p>
      <w:pPr>
        <w:spacing w:after="0" w:line="103" w:lineRule="exact"/>
        <w:rPr>
          <w:sz w:val="20"/>
          <w:szCs w:val="20"/>
          <w:color w:val="auto"/>
        </w:rPr>
      </w:pPr>
    </w:p>
    <w:p>
      <w:pPr>
        <w:ind w:left="2120" w:hanging="32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2033 notes, April 1, 2033 (two months prior to the maturity date of such notes),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2036 blue notes, March 1, 2036 (three months prior to the maturity date of such notes).</w:t>
      </w:r>
    </w:p>
    <w:p>
      <w:pPr>
        <w:spacing w:after="0" w:line="172" w:lineRule="exact"/>
        <w:rPr>
          <w:sz w:val="20"/>
          <w:szCs w:val="20"/>
          <w:color w:val="auto"/>
        </w:rPr>
      </w:pPr>
    </w:p>
    <w:p>
      <w:pPr>
        <w:ind w:left="1380" w:right="359" w:firstLine="341"/>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“Treasury Rate” </w:t>
      </w:r>
      <w:r>
        <w:rPr>
          <w:rFonts w:ascii="Times New Roman" w:cs="Times New Roman" w:eastAsia="Times New Roman" w:hAnsi="Times New Roman"/>
          <w:sz w:val="14"/>
          <w:szCs w:val="14"/>
          <w:color w:val="auto"/>
        </w:rPr>
        <w:t>means, with respect to any redemption date for a series of notes, the yield applicable to such series of notes determined by us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accordance with the following two paragraphs.</w:t>
      </w:r>
    </w:p>
    <w:p>
      <w:pPr>
        <w:spacing w:after="0" w:line="123"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Treasury Rate applicable to a series of notes shall be determined by us after 4:15 p.m., New York City time (or after such time as yields on U.S. government securities are posted daily by the Board of Governors of the Federal Reserve System), on the third business day preceding the relevant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applicable Treasury Rate, we shall select, as applicable: (1) the yield for the Treasury constant</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19"/>
        <w:spacing w:after="0" w:line="254" w:lineRule="auto"/>
        <w:rPr>
          <w:sz w:val="20"/>
          <w:szCs w:val="20"/>
          <w:color w:val="auto"/>
        </w:rPr>
      </w:pPr>
      <w:r>
        <w:rPr>
          <w:rFonts w:ascii="Times New Roman" w:cs="Times New Roman" w:eastAsia="Times New Roman" w:hAnsi="Times New Roman"/>
          <w:sz w:val="14"/>
          <w:szCs w:val="14"/>
          <w:color w:val="auto"/>
        </w:rPr>
        <w:t>maturity on H.15 exactly equal to the period from the relevant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relevant redemption date.</w:t>
      </w:r>
    </w:p>
    <w:p>
      <w:pPr>
        <w:spacing w:after="0" w:line="144" w:lineRule="exact"/>
        <w:rPr>
          <w:sz w:val="20"/>
          <w:szCs w:val="20"/>
          <w:color w:val="auto"/>
        </w:rPr>
      </w:pPr>
    </w:p>
    <w:p>
      <w:pPr>
        <w:ind w:left="1380" w:right="279" w:firstLine="341"/>
        <w:spacing w:after="0" w:line="252" w:lineRule="auto"/>
        <w:rPr>
          <w:sz w:val="20"/>
          <w:szCs w:val="20"/>
          <w:color w:val="auto"/>
        </w:rPr>
      </w:pPr>
      <w:r>
        <w:rPr>
          <w:rFonts w:ascii="Times New Roman" w:cs="Times New Roman" w:eastAsia="Times New Roman" w:hAnsi="Times New Roman"/>
          <w:sz w:val="14"/>
          <w:szCs w:val="14"/>
          <w:color w:val="auto"/>
        </w:rPr>
        <w:t>If on the third business day preceding the relevant redemption date H.15 TCM is no longer published, we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4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Our actions and determinations in determining the relevant redemption price shall be conclusive and binding for all purposes, absent manifest</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error.</w:t>
      </w:r>
    </w:p>
    <w:p>
      <w:pPr>
        <w:spacing w:after="0" w:line="159" w:lineRule="exact"/>
        <w:rPr>
          <w:sz w:val="20"/>
          <w:szCs w:val="20"/>
          <w:color w:val="auto"/>
        </w:rPr>
      </w:pPr>
    </w:p>
    <w:p>
      <w:pPr>
        <w:ind w:left="1380" w:right="419" w:firstLine="341"/>
        <w:spacing w:after="0" w:line="281"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at least 10 days but not more than 60 days before the relevant redemption date to each holder of notes to be redeemed.</w:t>
      </w:r>
    </w:p>
    <w:p>
      <w:pPr>
        <w:spacing w:after="0" w:line="125"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In the case of a partial redemption, selection of the notes for redemption will be made pro rata, by lot or by such other method as the trustee deems appropriate and fair, subject, in the case of global notes (as defined below), to the applicable procedures of DTC (or any successor depositary).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such depositary.</w:t>
      </w:r>
    </w:p>
    <w:p>
      <w:pPr>
        <w:spacing w:after="0" w:line="146"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Unless we default in payment of the redemption price, on and after the redemption date interest will cease to accrue on the notes or portions thereof called for redemption. On or before the redemption date, we will deposit with the paying agent or set aside, segregate and hold in trust (if we are acting as paying agent), funds sufficient to pay the redemption price of, and accrued and unpaid interest on, such notes to be redeemed on that redemption date.</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99" w:firstLine="341"/>
        <w:spacing w:after="0" w:line="257" w:lineRule="auto"/>
        <w:rPr>
          <w:sz w:val="20"/>
          <w:szCs w:val="20"/>
          <w:color w:val="auto"/>
        </w:rPr>
      </w:pPr>
      <w:r>
        <w:rPr>
          <w:rFonts w:ascii="Times New Roman" w:cs="Times New Roman" w:eastAsia="Times New Roman" w:hAnsi="Times New Roman"/>
          <w:sz w:val="14"/>
          <w:szCs w:val="14"/>
          <w:color w:val="auto"/>
        </w:rPr>
        <w:t>Notice of any redemption of notes may, at our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subject to satisfaction of one or more conditions precedent, such notice shall describe each such condition, and such notice may be rescinded in the event that any or all such conditions shall not have been satisfied or otherwise waived on or prior to the fifth (5th) business day immediately preceding the relevant redemption date.</w:t>
      </w:r>
    </w:p>
    <w:p>
      <w:pPr>
        <w:spacing w:after="0" w:line="143" w:lineRule="exact"/>
        <w:rPr>
          <w:sz w:val="20"/>
          <w:szCs w:val="20"/>
          <w:color w:val="auto"/>
        </w:rPr>
      </w:pPr>
    </w:p>
    <w:p>
      <w:pPr>
        <w:ind w:left="1380" w:right="279" w:firstLine="341"/>
        <w:spacing w:after="0" w:line="253" w:lineRule="auto"/>
        <w:rPr>
          <w:sz w:val="20"/>
          <w:szCs w:val="20"/>
          <w:color w:val="auto"/>
        </w:rPr>
      </w:pPr>
      <w:r>
        <w:rPr>
          <w:rFonts w:ascii="Times New Roman" w:cs="Times New Roman" w:eastAsia="Times New Roman" w:hAnsi="Times New Roman"/>
          <w:sz w:val="14"/>
          <w:szCs w:val="14"/>
          <w:color w:val="auto"/>
        </w:rPr>
        <w:t>We shall notify holders (with a copy to the Trustee) of any such rescission as soon as practicable, and in no case less than five (5) business days immediately preceding the relevant redemption date, after we determine that such conditions precedent will not be able to be satisfied or we are not able or willing to waive such conditions precedent, in each case subject to policies and procedures of DTC (or any successor depositary). In any event, we shall provide written notice to holders and the trustee prior to the close of business on the fifth (5th) business day prior to the relevant redemption date if any such redemption has been rescinded or delayed. We may by five (5) business days (or such shorter period to which the Trustee may in its sole discretion agree) advanced written notice to the Trustee (accompanied by an officer’s certificate to the Trustee’s satisfaction, and a copy of the written notice (prepared by us at our cost and expense) that such redemption has been rescinded or delayed) request that the trustee provide such notice to each holder of the notes in the same manner in which the notice of redemption was given. Once notice of redemption is mailed or sent, subject to the satisfaction of any conditions precedent provided in the notice of redemption, the notes called for redemption will become due and payable on the redemption date and at the applicable redemption price as set forth above under “—Optional Redemption.”</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Repurchase Upon Change of Control Triggering Event</w:t>
      </w:r>
    </w:p>
    <w:p>
      <w:pPr>
        <w:spacing w:after="0" w:line="92" w:lineRule="exact"/>
        <w:rPr>
          <w:sz w:val="20"/>
          <w:szCs w:val="20"/>
          <w:color w:val="auto"/>
        </w:rPr>
      </w:pPr>
    </w:p>
    <w:p>
      <w:pPr>
        <w:ind w:left="1380" w:right="299" w:firstLine="341"/>
        <w:spacing w:after="0" w:line="253" w:lineRule="auto"/>
        <w:rPr>
          <w:sz w:val="20"/>
          <w:szCs w:val="20"/>
          <w:color w:val="auto"/>
        </w:rPr>
      </w:pPr>
      <w:r>
        <w:rPr>
          <w:rFonts w:ascii="Times New Roman" w:cs="Times New Roman" w:eastAsia="Times New Roman" w:hAnsi="Times New Roman"/>
          <w:sz w:val="14"/>
          <w:szCs w:val="14"/>
          <w:color w:val="auto"/>
        </w:rPr>
        <w:t>A change of control requiring us to repurchase all, or part, of the notes of a series as described below will be triggered in the event that the notes of such series cease to be rated equal to or higher than BBB- (or the equivalent) by Fitch Inc. (“Fitch”), Baa3 (or the equivalent) by Moody’s Investors Service, Inc. (“Moody’s”) or BBB- (or the equivalent) by S&amp;P Global Ratings, a division of S&amp;P Global Inc. (“S&amp;P”), and the equivalent investment grade credit rating from any replacement rating agency or rating agencies selected by us on any date during the 60-day period commencing upon the earlier of (1) the first public announcement of the change of control or our intention to effect a change of control and (2) the consummation of such change of control, which period will be extended following consummation of a change of control for so long as the rating of the notes of such series is under publicly announced consideration for possible downgrade by any of the rating agencies. Unless at least one rating agency is providing a rating for the notes of such series at the commencement of any such period, the notes of such series will be deemed to have ceased to be rated as described above during such period. Notwithstanding the foregoing, no event triggering a change of control will be deemed to have occurred in connection with any particular change of control unless and until such change of control has actually been consummated.</w:t>
      </w:r>
    </w:p>
    <w:p>
      <w:pPr>
        <w:spacing w:after="0" w:line="145"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If an event triggering a change of control occurs, unless we have exercised our right to redeem the notes of such series, we will be required to make an offer to repurchase all or, at the holder’s option, any part (equal to $2,000 or any multiple of $1,000 in excess thereof) of each holder’s notes of such series on the terms set forth in the notes of such series. In such offer, we will be required to offer payment in cash equal to 101% of the aggregate principal amount of the notes of such series repurchased plus accrued and unpaid interest, if any, on the notes of such series repurchased, to, but not including, the date of purchase.</w:t>
      </w:r>
    </w:p>
    <w:p>
      <w:pPr>
        <w:spacing w:after="0" w:line="143"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color w:val="auto"/>
        </w:rPr>
        <w:t>Within 30 days following any event triggering a change of control or, at our option, prior to any change of control, but after public announcement of the transaction that constitutes or may constitute the change of control, a notice will be mailed to holders of the notes of such series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On such payment date, we will be required, to the extent lawful, to:</w:t>
      </w:r>
    </w:p>
    <w:p>
      <w:pPr>
        <w:spacing w:after="0" w:line="101" w:lineRule="exact"/>
        <w:rPr>
          <w:sz w:val="20"/>
          <w:szCs w:val="20"/>
          <w:color w:val="auto"/>
        </w:rPr>
      </w:pPr>
    </w:p>
    <w:p>
      <w:pPr>
        <w:ind w:left="2120" w:hanging="327"/>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or portions of notes properly tendered pursuant to the offer described in the first paragraph above;</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required payment in respect of all notes or portions of notes properly tendered; and</w:t>
      </w:r>
    </w:p>
    <w:p>
      <w:pPr>
        <w:spacing w:after="0" w:line="100" w:lineRule="exact"/>
        <w:rPr>
          <w:rFonts w:ascii="Times New Roman" w:cs="Times New Roman" w:eastAsia="Times New Roman" w:hAnsi="Times New Roman"/>
          <w:sz w:val="14"/>
          <w:szCs w:val="14"/>
          <w:color w:val="auto"/>
        </w:rPr>
      </w:pPr>
    </w:p>
    <w:p>
      <w:pPr>
        <w:ind w:left="2120" w:right="739" w:hanging="327"/>
        <w:spacing w:after="0" w:line="281"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notes properly accepted together with an officer’s certificate stating the aggregate principal amount of notes or portions of notes being purchased by us.</w:t>
      </w:r>
    </w:p>
    <w:p>
      <w:pPr>
        <w:spacing w:after="0" w:line="125"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The paying agent will be required to promptly mail to each holder who properly tendered notes the purchase price for such debt securities, and the trustee will be required to promptly authenticate and mail (or cause to be transferred by book entry) to each such holder a new debt security equal in principal amount to any unpurchased portion of the notes surrendered, if any; provided that each new debt security will be in a principal amount of $2,000 or a multiple of $1,000 in excess thereof.</w:t>
      </w:r>
    </w:p>
    <w:p>
      <w:pPr>
        <w:spacing w:after="0" w:line="140"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We will not be required to make an offer upon an event triggering a change of control if a third party makes such an offer in the manner, at the times and otherwise in compliance with the requirements for an offer made by us and such third party purchases all notes properly tendered and not withdrawn under its offer. In the event that such third party terminates or defaults its offer, we will be required to make an offer treating the date of such termination or default as though it were the date of such change of control triggering event.</w:t>
      </w:r>
    </w:p>
    <w:p>
      <w:pPr>
        <w:spacing w:after="0" w:line="140" w:lineRule="exact"/>
        <w:rPr>
          <w:sz w:val="20"/>
          <w:szCs w:val="20"/>
          <w:color w:val="auto"/>
        </w:rPr>
      </w:pPr>
    </w:p>
    <w:p>
      <w:pPr>
        <w:ind w:left="1380" w:right="479" w:firstLine="341"/>
        <w:spacing w:after="0" w:line="281" w:lineRule="auto"/>
        <w:rPr>
          <w:sz w:val="20"/>
          <w:szCs w:val="20"/>
          <w:color w:val="auto"/>
        </w:rPr>
      </w:pPr>
      <w:r>
        <w:rPr>
          <w:rFonts w:ascii="Times New Roman" w:cs="Times New Roman" w:eastAsia="Times New Roman" w:hAnsi="Times New Roman"/>
          <w:sz w:val="14"/>
          <w:szCs w:val="14"/>
          <w:color w:val="auto"/>
        </w:rPr>
        <w:t>In addition, we will not repurchase any notes if there has occurred and is continuing on the relevant payment date an event of default under the indenture, other than a default in the payment of the change of control payment upon a change of control triggering event.</w:t>
      </w:r>
    </w:p>
    <w:p>
      <w:pPr>
        <w:spacing w:after="0" w:line="125" w:lineRule="exact"/>
        <w:rPr>
          <w:sz w:val="20"/>
          <w:szCs w:val="20"/>
          <w:color w:val="auto"/>
        </w:rPr>
      </w:pPr>
    </w:p>
    <w:p>
      <w:pPr>
        <w:ind w:left="1380" w:right="359" w:firstLine="341"/>
        <w:spacing w:after="0" w:line="295" w:lineRule="auto"/>
        <w:rPr>
          <w:sz w:val="20"/>
          <w:szCs w:val="20"/>
          <w:color w:val="auto"/>
        </w:rPr>
      </w:pPr>
      <w:r>
        <w:rPr>
          <w:rFonts w:ascii="Times New Roman" w:cs="Times New Roman" w:eastAsia="Times New Roman" w:hAnsi="Times New Roman"/>
          <w:sz w:val="13"/>
          <w:szCs w:val="13"/>
          <w:color w:val="auto"/>
        </w:rPr>
        <w:t>To the extent that we are required to offer to repurchase the notes upon the occurrence of a change of control triggering event, we may not have sufficient funds to repurchase the notes in cash at such time. In addition, our ability to repurchase the notes for cash may be limited by law or the terms of other agreements relating to our indebtedness outstanding at the time. The failure to make such repurchase would result in a default under the notes.</w:t>
      </w:r>
    </w:p>
    <w:p>
      <w:pPr>
        <w:spacing w:after="0" w:line="118"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 of any such laws or regulations conflicts with the offer provisions in respect of a change of control of the notes, we will comply with those securities laws and regulations and will not be deemed to have breached our obligations under such offer provisions by virtue of any such conflict.</w:t>
      </w:r>
    </w:p>
    <w:p>
      <w:pPr>
        <w:spacing w:after="0" w:line="143"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lease,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our assets and those of our subsidiaries, taken as a whole, to another person or group may be uncertain. In such case, holders of the notes may not be able to resolve this uncertainty without resorting to legal action.</w:t>
      </w:r>
    </w:p>
    <w:p>
      <w:pPr>
        <w:spacing w:after="0" w:line="14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For purposes of the foregoing, the following terms will be applicable:</w:t>
      </w:r>
    </w:p>
    <w:p>
      <w:pPr>
        <w:spacing w:after="0" w:line="88" w:lineRule="exact"/>
        <w:rPr>
          <w:sz w:val="20"/>
          <w:szCs w:val="20"/>
          <w:color w:val="auto"/>
        </w:rPr>
      </w:pPr>
    </w:p>
    <w:p>
      <w:pPr>
        <w:ind w:left="1380" w:right="839" w:firstLine="341"/>
        <w:spacing w:after="0" w:line="28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w:t>
      </w:r>
      <w:r>
        <w:rPr>
          <w:rFonts w:ascii="Times New Roman" w:cs="Times New Roman" w:eastAsia="Times New Roman" w:hAnsi="Times New Roman"/>
          <w:sz w:val="14"/>
          <w:szCs w:val="14"/>
          <w:color w:val="auto"/>
        </w:rPr>
        <w:t>” means the occurrence of any one of the following: (1) the direct or indirect sale, lease, transfer, conveyance or other disposition (other than by way of merger, amalgamation, arrangement or</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spacing w:after="0" w:line="251" w:lineRule="auto"/>
        <w:rPr>
          <w:sz w:val="20"/>
          <w:szCs w:val="20"/>
          <w:color w:val="auto"/>
        </w:rPr>
      </w:pPr>
      <w:r>
        <w:rPr>
          <w:rFonts w:ascii="Times New Roman" w:cs="Times New Roman" w:eastAsia="Times New Roman" w:hAnsi="Times New Roman"/>
          <w:sz w:val="14"/>
          <w:szCs w:val="14"/>
          <w:color w:val="auto"/>
        </w:rPr>
        <w:t>consolidation), in one or a series of related transactions, of all or substantially all of our properties or assets and those of our subsidiaries, taken as a whole, to one or more persons, other than to us or one of our subsidiaries; (2) the first day on which a majority of the members of our board of directors is not composed of directors who (a) were members of our board of directors on the issue date or (b) were nominated for election, elected or appointed to our board of directors with the approval of a majority of the directors who were members of our board of directors at the time of such nomination, election or appointment (either by a specific vote or by approval by such directors of our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our voting stock; (4) we consolidate with, or merge with or into, any person, or 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(5) the adoption of a plan relating to our liquidation or dissolution (other than our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 (2)(A)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Exchange Act.</w:t>
      </w:r>
    </w:p>
    <w:p>
      <w:pPr>
        <w:spacing w:after="0" w:line="2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Defeasance and Covenants</w:t>
      </w:r>
    </w:p>
    <w:p>
      <w:pPr>
        <w:spacing w:after="0" w:line="92" w:lineRule="exact"/>
        <w:rPr>
          <w:sz w:val="20"/>
          <w:szCs w:val="20"/>
          <w:color w:val="auto"/>
        </w:rPr>
      </w:pPr>
    </w:p>
    <w:p>
      <w:pPr>
        <w:ind w:left="1380" w:right="459" w:firstLine="341"/>
        <w:spacing w:after="0" w:line="281" w:lineRule="auto"/>
        <w:rPr>
          <w:sz w:val="20"/>
          <w:szCs w:val="20"/>
          <w:color w:val="auto"/>
        </w:rPr>
      </w:pPr>
      <w:r>
        <w:rPr>
          <w:rFonts w:ascii="Times New Roman" w:cs="Times New Roman" w:eastAsia="Times New Roman" w:hAnsi="Times New Roman"/>
          <w:sz w:val="14"/>
          <w:szCs w:val="14"/>
          <w:color w:val="auto"/>
        </w:rPr>
        <w:t>In some circumstances, we may elect to discharge our obligations on the notes through defeasance or covenant defeasance. See “Description of Debt Securities—Satisfaction, Discharge and Defeasance” in the accompanying prospectus for more information about how we may do this.</w:t>
      </w:r>
    </w:p>
    <w:p>
      <w:pPr>
        <w:spacing w:after="0" w:line="125" w:lineRule="exact"/>
        <w:rPr>
          <w:sz w:val="20"/>
          <w:szCs w:val="20"/>
          <w:color w:val="auto"/>
        </w:rPr>
      </w:pPr>
    </w:p>
    <w:p>
      <w:pPr>
        <w:ind w:left="1380" w:right="319" w:firstLine="341"/>
        <w:spacing w:after="0" w:line="281" w:lineRule="auto"/>
        <w:rPr>
          <w:sz w:val="20"/>
          <w:szCs w:val="20"/>
          <w:color w:val="auto"/>
        </w:rPr>
      </w:pPr>
      <w:r>
        <w:rPr>
          <w:rFonts w:ascii="Times New Roman" w:cs="Times New Roman" w:eastAsia="Times New Roman" w:hAnsi="Times New Roman"/>
          <w:sz w:val="14"/>
          <w:szCs w:val="14"/>
          <w:color w:val="auto"/>
        </w:rPr>
        <w:t>The indenture generally does not limit our ability to incur additional debt and does not contain financial or similar restrictive covenants, except as described in the accompanying prospectus under the caption “Description of Debt Securities—Other Covenants.”</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Further Issues</w:t>
      </w:r>
    </w:p>
    <w:p>
      <w:pPr>
        <w:spacing w:after="0" w:line="92"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We may from time to time, without notice to or the consent of the holders of either series of notes, create and issue further notes ranking equally and ratably with such series of notes in all respects, or in all respects except for the payment of interest accruing prior to the issue date or except for the first payment of interest following the issue date of those further notes. Any further notes will have the same terms as to status, redemption or otherwise as the applicable series of notes. If such further notes are not fungible with the notes in this offering for United States federal income tax purposes, the further notes will have different ISIN and CUSIP numbers.</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Book-Entry System</w:t>
      </w:r>
    </w:p>
    <w:p>
      <w:pPr>
        <w:spacing w:after="0" w:line="92" w:lineRule="exact"/>
        <w:rPr>
          <w:sz w:val="20"/>
          <w:szCs w:val="20"/>
          <w:color w:val="auto"/>
        </w:rPr>
      </w:pPr>
    </w:p>
    <w:p>
      <w:pPr>
        <w:jc w:val="both"/>
        <w:ind w:left="1380" w:right="339" w:firstLine="341"/>
        <w:spacing w:after="0" w:line="265" w:lineRule="auto"/>
        <w:rPr>
          <w:sz w:val="20"/>
          <w:szCs w:val="20"/>
          <w:color w:val="auto"/>
        </w:rPr>
      </w:pPr>
      <w:r>
        <w:rPr>
          <w:rFonts w:ascii="Times New Roman" w:cs="Times New Roman" w:eastAsia="Times New Roman" w:hAnsi="Times New Roman"/>
          <w:sz w:val="14"/>
          <w:szCs w:val="14"/>
          <w:color w:val="auto"/>
        </w:rPr>
        <w:t>The notes will be issued in the form of one or more fully registered global notes (each a “global note”) which will be deposited with, or on behalf of, The Depository Trust Company, New York, New York (“DTC”) and registered in the name of Cede &amp; Co., DTC’s nominee. We will not issue notes in certificated form except in</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79"/>
        <w:spacing w:after="0" w:line="253" w:lineRule="auto"/>
        <w:rPr>
          <w:sz w:val="20"/>
          <w:szCs w:val="20"/>
          <w:color w:val="auto"/>
        </w:rPr>
      </w:pPr>
      <w:r>
        <w:rPr>
          <w:rFonts w:ascii="Times New Roman" w:cs="Times New Roman" w:eastAsia="Times New Roman" w:hAnsi="Times New Roman"/>
          <w:sz w:val="14"/>
          <w:szCs w:val="14"/>
          <w:color w:val="auto"/>
        </w:rPr>
        <w:t>certain circumstances. Beneficial interests in the global notes will be represented through book-entry accounts of financial institutions acting on behalf of beneficial owners as direct and indirect participants in DTC (the “Depositary Participants”). Investors may elect to hold interests in the global notes through either DTC (in the United States), or Clearstream Banking Luxembourg S.A. (“Clearstream Luxembourg”) or Euroclear Bank S.A./N.V., as operator of the Euroclear System (“Euroclear”) (in Europe) if they are participants in those systems, or indirectly through organizations that are participants in those systems. Clearstream Luxembourg and Euroclear will hold interests on behalf of their participants through customers’ securities accounts in Clearstream Luxembourg’s and Euroclear’s names on the books of their respective depositaries, which in turn will hold such interests in customers’ securities accounts in the depositaries’ names on the books of DTC. At the present time, Citibank, N.A. acts as U.S. depositary for Clearstream Luxembourg and JPMorgan Chase Bank acts as U.S. depositary for Euroclear (the “U.S. Depositaries”). Beneficial interests in the global notes will be held in minimum denominations of $2,000 and integral multiples of $1,000 in excess thereof. Except as set forth below, the global notes may be transferred, in whole but not in part, only to another nominee of DTC or to a successor of DTC or its nominee.</w:t>
      </w:r>
    </w:p>
    <w:p>
      <w:pPr>
        <w:spacing w:after="0" w:line="145"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(“Direct Participants”) deposit with DTC. DTC also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Direct Participants include securities brokers and dealers (which may include the underwriters), banks, trust companies, clearing corporations and certain other organizations. DTC is owned by a number of its Direct Participants and by the New York Stock Exchange, Inc., the NYSE MKT LLC and the Financial Industry Regulatory Authority. Access to DTC’s book-entry system is also available to others such as securities brokers and dealers, banks and trust companies that clear through or maintain a custodial relationship with a Direct Participant, either directly or indirectly (“Indirect Participants”). The rules applicable to DTC and its Direct and Indirect Participants are on file with the SEC.</w:t>
      </w:r>
    </w:p>
    <w:p>
      <w:pPr>
        <w:spacing w:after="0" w:line="150" w:lineRule="exact"/>
        <w:rPr>
          <w:sz w:val="20"/>
          <w:szCs w:val="20"/>
          <w:color w:val="auto"/>
        </w:rPr>
      </w:pPr>
    </w:p>
    <w:p>
      <w:pPr>
        <w:ind w:left="1380" w:right="319" w:firstLine="341"/>
        <w:spacing w:after="0" w:line="252" w:lineRule="auto"/>
        <w:rPr>
          <w:sz w:val="20"/>
          <w:szCs w:val="20"/>
          <w:color w:val="auto"/>
        </w:rPr>
      </w:pPr>
      <w:r>
        <w:rPr>
          <w:rFonts w:ascii="Times New Roman" w:cs="Times New Roman" w:eastAsia="Times New Roman" w:hAnsi="Times New Roman"/>
          <w:sz w:val="14"/>
          <w:szCs w:val="14"/>
          <w:color w:val="auto"/>
        </w:rPr>
        <w:t>Clearstream Luxembourg has advised us that it is incorporated under the laws of Luxembourg as a professional depositary. Clearstream Luxembourg holds securities for its participating organizations, known as Clearstream Luxembourg participants, and facilitates the clearance and settlement of securities transactions between Clearstream Luxembourg participants through electronic book-entry changes in accounts of Clearstream Luxembourg participants, thereby eliminating the need for physical movement of certificates. Clearstream Luxembourg provides to Clearstream Luxembourg participants, among other things, services for safekeeping, administration, clearance and settlement of internationally traded securities and securities lending and borrowing. Clearstream Luxembourg interfaces with domestic markets in several countries. As a professional depositary, Clearstream Luxembourg is subject to regulation by the Luxembourg Commission for the Supervision of the Financial Sector, also known as the Commission de Surveillance du Secteur Financier. Clearstream Luxembourg participants are recognized financial institutions around the world, including underwriters, securities brokers and dealers, banks, trust companies, clearing corporations and certain other organizations. Indirect access to Clearstream Luxembourg is also available to others, such as banks, brokers, dealers and trust companies that clear through, or maintain a custodial relationship with, a Clearstream Luxembourg participant either directly or indirectly.</w:t>
      </w:r>
    </w:p>
    <w:p>
      <w:pPr>
        <w:spacing w:after="0" w:line="150" w:lineRule="exact"/>
        <w:rPr>
          <w:sz w:val="20"/>
          <w:szCs w:val="20"/>
          <w:color w:val="auto"/>
        </w:rPr>
      </w:pPr>
    </w:p>
    <w:p>
      <w:pPr>
        <w:ind w:left="1380" w:right="519" w:firstLine="341"/>
        <w:spacing w:after="0" w:line="321" w:lineRule="auto"/>
        <w:rPr>
          <w:sz w:val="20"/>
          <w:szCs w:val="20"/>
          <w:color w:val="auto"/>
        </w:rPr>
      </w:pPr>
      <w:r>
        <w:rPr>
          <w:rFonts w:ascii="Times New Roman" w:cs="Times New Roman" w:eastAsia="Times New Roman" w:hAnsi="Times New Roman"/>
          <w:sz w:val="13"/>
          <w:szCs w:val="13"/>
          <w:color w:val="auto"/>
        </w:rPr>
        <w:t>Distributions with respect to the notes held beneficially through Clearstream Luxembourg will be credited to the cash accounts of Clearstream Luxembourg participants in accordance with its rules and procedures, to the extent received by the U.S. Depositary for Clearstream Luxembourg.</w:t>
      </w:r>
    </w:p>
    <w:p>
      <w:pPr>
        <w:spacing w:after="0" w:line="102" w:lineRule="exact"/>
        <w:rPr>
          <w:sz w:val="20"/>
          <w:szCs w:val="20"/>
          <w:color w:val="auto"/>
        </w:rPr>
      </w:pPr>
    </w:p>
    <w:p>
      <w:pPr>
        <w:ind w:left="1380" w:right="379" w:firstLine="341"/>
        <w:spacing w:after="0" w:line="281" w:lineRule="auto"/>
        <w:rPr>
          <w:sz w:val="20"/>
          <w:szCs w:val="20"/>
          <w:color w:val="auto"/>
        </w:rPr>
      </w:pPr>
      <w:r>
        <w:rPr>
          <w:rFonts w:ascii="Times New Roman" w:cs="Times New Roman" w:eastAsia="Times New Roman" w:hAnsi="Times New Roman"/>
          <w:sz w:val="14"/>
          <w:szCs w:val="14"/>
          <w:color w:val="auto"/>
        </w:rPr>
        <w:t>Euroclear has advised us that it was created in 1968 to hold securities for its participants, known as Euroclear participants, and to clear and settle transactions between Euroclear participants and between Euroclear</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380" w:right="319"/>
        <w:spacing w:after="0" w:line="276" w:lineRule="auto"/>
        <w:rPr>
          <w:sz w:val="20"/>
          <w:szCs w:val="20"/>
          <w:color w:val="auto"/>
        </w:rPr>
      </w:pPr>
      <w:r>
        <w:rPr>
          <w:rFonts w:ascii="Times New Roman" w:cs="Times New Roman" w:eastAsia="Times New Roman" w:hAnsi="Times New Roman"/>
          <w:sz w:val="13"/>
          <w:szCs w:val="13"/>
          <w:color w:val="auto"/>
        </w:rPr>
        <w:t>participants and participants of certain other securities intermediaries through simultaneous electronic book-entry delivery against payment, eliminating the need for physical movement of certificates and any risk from lack of simultaneous transfers of securities and cash. Euroclear is owned by Euroclear Clearance System Public Limited Company and operated through a license agreement by Euroclear Bank S.A./N.V., known as the Euroclear operator.</w:t>
      </w:r>
    </w:p>
    <w:p>
      <w:pPr>
        <w:spacing w:after="0" w:line="1" w:lineRule="exact"/>
        <w:rPr>
          <w:sz w:val="20"/>
          <w:szCs w:val="20"/>
          <w:color w:val="auto"/>
        </w:rPr>
      </w:pPr>
    </w:p>
    <w:p>
      <w:pPr>
        <w:jc w:val="both"/>
        <w:ind w:left="1380" w:right="579"/>
        <w:spacing w:after="0" w:line="254" w:lineRule="auto"/>
        <w:rPr>
          <w:sz w:val="20"/>
          <w:szCs w:val="20"/>
          <w:color w:val="auto"/>
        </w:rPr>
      </w:pPr>
      <w:r>
        <w:rPr>
          <w:rFonts w:ascii="Times New Roman" w:cs="Times New Roman" w:eastAsia="Times New Roman" w:hAnsi="Times New Roman"/>
          <w:sz w:val="14"/>
          <w:szCs w:val="14"/>
          <w:color w:val="auto"/>
        </w:rPr>
        <w:t>The Euroclear operator provides Euroclear participants, among other things, with safekeeping, administration, clearance and settlement, securities lending and borrowing and related services. Euroclear participants include banks (including central banks), securities brokers and dealers and other professional financial intermediaries and may include the underwriters.</w:t>
      </w:r>
    </w:p>
    <w:p>
      <w:pPr>
        <w:spacing w:after="0" w:line="144" w:lineRule="exact"/>
        <w:rPr>
          <w:sz w:val="20"/>
          <w:szCs w:val="20"/>
          <w:color w:val="auto"/>
        </w:rPr>
      </w:pPr>
    </w:p>
    <w:p>
      <w:pPr>
        <w:ind w:left="1380" w:right="459" w:firstLine="341"/>
        <w:spacing w:after="0" w:line="281" w:lineRule="auto"/>
        <w:rPr>
          <w:sz w:val="20"/>
          <w:szCs w:val="20"/>
          <w:color w:val="auto"/>
        </w:rPr>
      </w:pPr>
      <w:r>
        <w:rPr>
          <w:rFonts w:ascii="Times New Roman" w:cs="Times New Roman" w:eastAsia="Times New Roman" w:hAnsi="Times New Roman"/>
          <w:sz w:val="14"/>
          <w:szCs w:val="14"/>
          <w:color w:val="auto"/>
        </w:rPr>
        <w:t>Indirect access to Euroclear is also available to others that clear through or maintain a custodial relationship with a Euroclear participant, either directly or indirectly.</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Euroclear operator is regulated and examined by the Belgian Banking and Finance Commission.</w:t>
      </w:r>
    </w:p>
    <w:p>
      <w:pPr>
        <w:spacing w:after="0" w:line="174"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and the related Operating Procedures of the Euroclear System, and applicable Belgian law, collectively referred to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46" w:lineRule="exact"/>
        <w:rPr>
          <w:sz w:val="20"/>
          <w:szCs w:val="20"/>
          <w:color w:val="auto"/>
        </w:rPr>
      </w:pPr>
    </w:p>
    <w:p>
      <w:pPr>
        <w:ind w:left="1380" w:right="899" w:firstLine="341"/>
        <w:spacing w:after="0" w:line="281" w:lineRule="auto"/>
        <w:rPr>
          <w:sz w:val="20"/>
          <w:szCs w:val="20"/>
          <w:color w:val="auto"/>
        </w:rPr>
      </w:pPr>
      <w:r>
        <w:rPr>
          <w:rFonts w:ascii="Times New Roman" w:cs="Times New Roman" w:eastAsia="Times New Roman" w:hAnsi="Times New Roman"/>
          <w:sz w:val="14"/>
          <w:szCs w:val="14"/>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25" w:lineRule="exact"/>
        <w:rPr>
          <w:sz w:val="20"/>
          <w:szCs w:val="20"/>
          <w:color w:val="auto"/>
        </w:rPr>
      </w:pPr>
    </w:p>
    <w:p>
      <w:pPr>
        <w:ind w:left="1380" w:right="259" w:firstLine="341"/>
        <w:spacing w:after="0" w:line="281" w:lineRule="auto"/>
        <w:rPr>
          <w:sz w:val="20"/>
          <w:szCs w:val="20"/>
          <w:color w:val="auto"/>
        </w:rPr>
      </w:pPr>
      <w:r>
        <w:rPr>
          <w:rFonts w:ascii="Times New Roman" w:cs="Times New Roman" w:eastAsia="Times New Roman" w:hAnsi="Times New Roman"/>
          <w:sz w:val="13"/>
          <w:szCs w:val="13"/>
          <w:color w:val="auto"/>
        </w:rPr>
        <w:t>If DTC is at any time unwilling or unable to continue as depositary and a successor depositary is not appointed by us within 90 days, we will issue the notes in definitive form in exchange for the entire global note representing such notes. In addition, we may at any time, and in our sole discretion, determine not to have the notes represented by the global note and, in such event, will issue notes in registered definitive form in exchange for the global note representing such notes. In any such instance, an owner of a beneficial interest in the global note will be entitled to physical delivery in definitive form of notes represented by such global note equal in principal amount to such beneficial interest and to have such notes registered in its name.</w:t>
      </w:r>
    </w:p>
    <w:p>
      <w:pPr>
        <w:spacing w:after="0" w:line="129"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color w:val="auto"/>
        </w:rPr>
        <w:t>Title to book-entry interests in the notes will pass by book-entry registration of the transfer within the records of Clearstream Luxembourg, Euroclear or DTC, as the case may be, in accordance with their respective procedures. Book-entry interests in the notes may be transferred within Clearstream Luxembourg and within Euroclear and between Clearstream Luxembourg and Euroclear in accordance with procedures established for these purposes by Clearstream Luxembourg and Euroclear. Book-entry interests in the notes may be transferred within DTC in accordance with procedures established for this purpose by DTC. Transfers of book-entry interests in the notes among Clearstream Luxembourg and Euroclear and DTC may be effected in accordance with procedures established for this purpose by Clearstream Luxembourg, Euroclear and DTC.</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Global Clearance and Settlement Procedures</w:t>
      </w:r>
    </w:p>
    <w:p>
      <w:pPr>
        <w:spacing w:after="0" w:line="92"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Initial settlement for the notes will be made in immediately available funds. Secondary market trading between Depositary Participants will occur in the ordinary way in accordance with DTC’s rules and will be settled in immediately available funds using DTC’s Same-Day Funds Settlement System. Secondary market trading between Clearstream Luxembourg participants and Euroclear participants will occur in the ordinary way in accordance with the applicable rules and operating procedures of Clearstream Luxembourg and Euroclear and will be settled using the procedures applicable to conventional eurobonds in immediately available funds.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Cross-market transfers between persons holding directly or indirectly through DTC, on the one hand, and directly or indirectly through Clearstream Luxembourg or Euroclear participants, on the other, will be effected through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w:t>
      </w:r>
    </w:p>
    <w:p>
      <w:pPr>
        <w:spacing w:after="0" w:line="143"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The relevant European international clearing system will, if the transaction meets its settlement requirements, deliver instructions to its U.S. Depositary to take action to effect final settlement on its behalf by delivering or receiving the notes in DTC, and making or receiving payment in accordance with normal procedures for same-day funds settlement applicable to DTC. Clearstream Luxembourg participants and Euroclear participants may not deliver instructions directly to their respective U.S. Depositaries.</w:t>
      </w:r>
    </w:p>
    <w:p>
      <w:pPr>
        <w:spacing w:after="0" w:line="140" w:lineRule="exact"/>
        <w:rPr>
          <w:sz w:val="20"/>
          <w:szCs w:val="20"/>
          <w:color w:val="auto"/>
        </w:rPr>
      </w:pPr>
    </w:p>
    <w:p>
      <w:pPr>
        <w:ind w:left="1380" w:right="319" w:firstLine="341"/>
        <w:spacing w:after="0" w:line="254" w:lineRule="auto"/>
        <w:rPr>
          <w:sz w:val="20"/>
          <w:szCs w:val="20"/>
          <w:color w:val="auto"/>
        </w:rPr>
      </w:pPr>
      <w:r>
        <w:rPr>
          <w:rFonts w:ascii="Times New Roman" w:cs="Times New Roman" w:eastAsia="Times New Roman" w:hAnsi="Times New Roman"/>
          <w:sz w:val="14"/>
          <w:szCs w:val="14"/>
          <w:color w:val="auto"/>
        </w:rPr>
        <w:t>Because of time-zone differences, credits of the notes received in Clearstream Luxembourg or Euroclear as a result of a transaction with a Depositary Participant will be made during subsequent securities settlement processing and dated the business day following the DTC settlement date. Such credits, or any transactions in the notes settled during such processing, will be reported to the relevant Euroclear participants or Clearstream Luxembourg participants on that business day. Cash received in Clearstream Luxembourg or Euroclear as a result of sales of notes by or through a Clearstream Luxembourg participant or a Euroclear participant to a Depositary Participant will be received with value on the business day of settlement in DTC but will be available in the relevant Clearstream Luxembourg or Euroclear cash account only as of the business day following settlement in DTC.</w:t>
      </w:r>
    </w:p>
    <w:p>
      <w:pPr>
        <w:spacing w:after="0" w:line="147" w:lineRule="exact"/>
        <w:rPr>
          <w:sz w:val="20"/>
          <w:szCs w:val="20"/>
          <w:color w:val="auto"/>
        </w:rPr>
      </w:pPr>
    </w:p>
    <w:p>
      <w:pPr>
        <w:ind w:left="1380" w:right="459" w:firstLine="341"/>
        <w:spacing w:after="0" w:line="265" w:lineRule="auto"/>
        <w:rPr>
          <w:sz w:val="20"/>
          <w:szCs w:val="20"/>
          <w:color w:val="auto"/>
        </w:rPr>
      </w:pPr>
      <w:r>
        <w:rPr>
          <w:rFonts w:ascii="Times New Roman" w:cs="Times New Roman" w:eastAsia="Times New Roman" w:hAnsi="Times New Roman"/>
          <w:sz w:val="14"/>
          <w:szCs w:val="14"/>
          <w:color w:val="auto"/>
        </w:rPr>
        <w:t>Although DTC, Clearstream Luxembourg and Euroclear have agreed to the foregoing procedures in order to facilitate transfers of securities among participants of DTC, Clearstream Luxembourg and Euroclear, they are under no obligation to perform or continue to perform such procedures and they may discontinue the procedures at any time.</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92" w:lineRule="exact"/>
        <w:rPr>
          <w:sz w:val="20"/>
          <w:szCs w:val="20"/>
          <w:color w:val="auto"/>
        </w:rPr>
      </w:pPr>
    </w:p>
    <w:p>
      <w:pPr>
        <w:ind w:left="1380" w:right="679" w:firstLine="341"/>
        <w:spacing w:after="0" w:line="281" w:lineRule="auto"/>
        <w:rPr>
          <w:sz w:val="20"/>
          <w:szCs w:val="20"/>
          <w:color w:val="auto"/>
        </w:rPr>
      </w:pPr>
      <w:r>
        <w:rPr>
          <w:rFonts w:ascii="Times New Roman" w:cs="Times New Roman" w:eastAsia="Times New Roman" w:hAnsi="Times New Roman"/>
          <w:sz w:val="14"/>
          <w:szCs w:val="14"/>
          <w:color w:val="auto"/>
        </w:rPr>
        <w:t>Notices to holders of the notes will be sent by mail or email to the registered holders, or otherwise in accordance with the procedures of the applicable depositary.</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The Trustee, Paying Agent and Registrar</w:t>
      </w:r>
    </w:p>
    <w:p>
      <w:pPr>
        <w:spacing w:after="0" w:line="92" w:lineRule="exact"/>
        <w:rPr>
          <w:sz w:val="20"/>
          <w:szCs w:val="20"/>
          <w:color w:val="auto"/>
        </w:rPr>
      </w:pPr>
    </w:p>
    <w:p>
      <w:pPr>
        <w:ind w:left="1380" w:right="459" w:firstLine="341"/>
        <w:spacing w:after="0" w:line="281" w:lineRule="auto"/>
        <w:rPr>
          <w:sz w:val="20"/>
          <w:szCs w:val="20"/>
          <w:color w:val="auto"/>
        </w:rPr>
      </w:pPr>
      <w:r>
        <w:rPr>
          <w:rFonts w:ascii="Times New Roman" w:cs="Times New Roman" w:eastAsia="Times New Roman" w:hAnsi="Times New Roman"/>
          <w:sz w:val="14"/>
          <w:szCs w:val="14"/>
          <w:color w:val="auto"/>
        </w:rPr>
        <w:t>Deutsche Bank Trust Company Americas will be the trustee, paying agent, registrar and DTC custodian with respect to the notes and maintains various commercial and investment banking relationships with us and with affiliates of ours.</w:t>
      </w:r>
    </w:p>
    <w:p>
      <w:pPr>
        <w:spacing w:after="0" w:line="125"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Principal of, premium, if any, and interest on the notes will be payable at the office of the paying agent or, at our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a common depositary, and registered in the name of the nominee of the common depositary for the account of DTC will be made through the facilities of the common depositary. We may change the paying agent without prior notice to the holders, and we or any of our subsidiaries may act as paying agent.</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indenture and the notes will be governed by, and construed in accordance with, the laws of the State of New York.</w:t>
      </w:r>
    </w:p>
    <w:p>
      <w:pPr>
        <w:spacing w:after="0" w:line="1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4"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CONSIDERATIONS</w:t>
      </w:r>
    </w:p>
    <w:p>
      <w:pPr>
        <w:spacing w:after="0" w:line="176"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The following is a general summary of material U.S. federal income tax consequences of the acquisition, ownership and disposition of the notes. This discussion is based upon the U.S. Internal Revenue Code of 1986, as amended (the “Code”), the U.S. Treasury regulations promulgated thereunder, administrative pronouncements and judicial decisions, all as of the date hereof and all of which are subject to differing interpretations or change, possibly with retroactive effect. Unless otherwise indicated, this summary addresses only the U.S. federal income tax consequences relevant to investors that purchase notes for cash at the time of original issuance at their “issue price” (generally the first price at which a substantial amount of the notes are sold for money to the public, not including purchases by bond houses, brokers or similar persons or organizations acting in the capacity of underwriters, placement agents or wholesalers) and applies only to beneficial owners that hold the notes as “capital assets” within the meaning of Section 1221 of the Code.</w:t>
      </w:r>
    </w:p>
    <w:p>
      <w:pPr>
        <w:spacing w:after="0" w:line="144" w:lineRule="exact"/>
        <w:rPr>
          <w:sz w:val="20"/>
          <w:szCs w:val="20"/>
          <w:color w:val="auto"/>
        </w:rPr>
      </w:pPr>
    </w:p>
    <w:p>
      <w:pPr>
        <w:ind w:left="1380" w:right="319" w:firstLine="341"/>
        <w:spacing w:after="0" w:line="252" w:lineRule="auto"/>
        <w:rPr>
          <w:sz w:val="20"/>
          <w:szCs w:val="20"/>
          <w:color w:val="auto"/>
        </w:rPr>
      </w:pPr>
      <w:r>
        <w:rPr>
          <w:rFonts w:ascii="Times New Roman" w:cs="Times New Roman" w:eastAsia="Times New Roman" w:hAnsi="Times New Roman"/>
          <w:sz w:val="14"/>
          <w:szCs w:val="14"/>
          <w:color w:val="auto"/>
        </w:rPr>
        <w:t>This summary does not address all of the U.S. federal income tax considerations that may be relevant to a particular investor in light of the investor’s individual circumstances or to investors subject to special rules under U.S. federal income tax laws, such as banks and other financial institutions, insurance companies, real estate investment trusts, regulated investment companies, tax-exempt organizations, entities and arrangements classified as partnerships for U.S. federal income tax purposes and other pass-through entities (and investors in such partnerships and other entities), dealers in securities, traders in securities that elect to use a mark-to-market method of tax accounting, persons liable for any minimum tax, U.S. Holders (as defined below) whose functional currency is not the U.S. dollar, certain U.S. expatriates, “controlled foreign corporations,” “passive foreign investment companies,” corporations that accumulate earnings to avoid U.S. federal income tax, persons holding notes as part of a “straddle,” “hedge,” “conversion transaction,” or other integrated investment and persons subject to special tax accounting rules under Section 451(b) of the Code. The discussion does not address any foreign, state, local or non-income tax consequences of the acquisition, ownership or disposition of the notes. We will not seek a ruling from the Internal Revenue Service (the “IRS”) with respect to any of the matters discussed herein and there can be no assurance that the IRS will not challenge one or more of the tax consequences described herein.</w:t>
      </w:r>
    </w:p>
    <w:p>
      <w:pPr>
        <w:spacing w:after="0" w:line="15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As used in this prospectus supplement, the term “U.S. Holder” means a beneficial owner of a note that is for U.S. federal income tax purposes:</w:t>
      </w:r>
    </w:p>
    <w:p>
      <w:pPr>
        <w:spacing w:after="0" w:line="101" w:lineRule="exact"/>
        <w:rPr>
          <w:sz w:val="20"/>
          <w:szCs w:val="20"/>
          <w:color w:val="auto"/>
        </w:rPr>
      </w:pPr>
    </w:p>
    <w:p>
      <w:pPr>
        <w:ind w:left="2120" w:hanging="327"/>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in or under the laws of the United States or any state or political subdivision thereof;</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00" w:lineRule="exact"/>
        <w:rPr>
          <w:rFonts w:ascii="Times New Roman" w:cs="Times New Roman" w:eastAsia="Times New Roman" w:hAnsi="Times New Roman"/>
          <w:sz w:val="14"/>
          <w:szCs w:val="14"/>
          <w:color w:val="auto"/>
        </w:rPr>
      </w:pPr>
    </w:p>
    <w:p>
      <w:pPr>
        <w:jc w:val="both"/>
        <w:ind w:left="2120" w:right="279" w:hanging="327"/>
        <w:spacing w:after="0" w:line="265"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 a U.S. court is able to exercise primary supervision over the trust’s administration and one or more “United States persons,” as defined in the Code (“United States Person”) have the authority to control all substantial decisions of the trust, or (ii) the trust has in effect a valid election to be treated as a United States Person.</w:t>
      </w:r>
    </w:p>
    <w:p>
      <w:pPr>
        <w:spacing w:after="0" w:line="136" w:lineRule="exact"/>
        <w:rPr>
          <w:sz w:val="20"/>
          <w:szCs w:val="20"/>
          <w:color w:val="auto"/>
        </w:rPr>
      </w:pPr>
    </w:p>
    <w:p>
      <w:pPr>
        <w:ind w:left="1380" w:right="439" w:firstLine="341"/>
        <w:spacing w:after="0" w:line="265" w:lineRule="auto"/>
        <w:rPr>
          <w:sz w:val="20"/>
          <w:szCs w:val="20"/>
          <w:color w:val="auto"/>
        </w:rPr>
      </w:pPr>
      <w:r>
        <w:rPr>
          <w:rFonts w:ascii="Times New Roman" w:cs="Times New Roman" w:eastAsia="Times New Roman" w:hAnsi="Times New Roman"/>
          <w:sz w:val="14"/>
          <w:szCs w:val="14"/>
          <w:color w:val="auto"/>
        </w:rPr>
        <w:t>The term “Non-U.S. Holder” means any beneficial owner of a note that is not a U.S. Holder and is not a partnership (including any entity or arrangement properly classified as a partnership for U.S. federal income tax purposes). For the purposes of this summary, U.S. Holders and Non-U.S. Holders are referred to collectively as “holders.”</w:t>
      </w:r>
    </w:p>
    <w:p>
      <w:pPr>
        <w:spacing w:after="0" w:line="136"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If a partnership (or other entity or arrangement classified as a partnership for U.S. federal income tax purposes) is a beneficial owner of a note, the U.S. federal income tax treatment of a partner in that partnership will generally depend upon the status of the partner and the activities of the partnership. A beneficial owner of a note that is a partnership and partners in such partnerships are urged to consult with their own tax advisors regarding the U.S. federal income and other tax consequences of the acquisition, ownership and disposition of the notes.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4"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380" w:right="47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This discussion is for general purposes only. Investors are urged to consult their own tax advisors regarding the application of the U.S. federal income tax laws to their particular situations and the consequences under federal estate or gift tax laws, as well as foreign, state, and local laws and tax treaties, and the possible effects of changes in tax laws.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Payments under Certain Events</w:t>
      </w:r>
    </w:p>
    <w:p>
      <w:pPr>
        <w:spacing w:after="0" w:line="92"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We may be required, under certain circumstances, to pay additional amounts in excess of stated interest and principal in respect of certain contingencies (including as described in “Description of Notes—Optional Redemption” and “—Repurchase Upon Change of Control Triggering Event”). Although the issue is not free from doubt, we intend to take the position that the possibility of payment of such additional amounts in respect of certain contingencies does not result in the notes being treated as contingent payment debt instruments under the applicable U.S. Treasury regulations. Our position that these contingencies do not result in the notes being treated as contingent payment debt instruments under the applicable U.S. Treasury regulations is binding on a holder, unless such holder explicitly discloses to the IRS on its tax return for the year during which it acquires the notes that it is taking a different position. However, our position is not binding on the IRS. If the IRS takes a contrary position to that described above, the timing and character of a holder’s income and the timing of our deductions with respect to the notes could be affected. Investors should consult their tax advisors regarding the tax consequences of the notes being treated as contingent payment debt instruments. The remainder of this discussion assumes that the notes will not be treated as contingent payment debt instruments for U.S. federal income tax purposes.</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Payments of Interest</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It is anticipated, and this discussion assumes, that the notes will be issued less than a de minimis amount (as set forth in the Code and applicable Treasury regulations) of original issue discount. In such case, interest on the notes will generally be taxable to U.S. Holders as ordinary interest income at the time it is paid or accrued in accordance with the U.S. Holder’s regular method of accounting for U.S. federal income tax purposes. If, however, the notes are issued for an amount less than the principal amount and the difference is equal to or more than a de minimis amount, U.S. Holders will be required to include the difference in gross income as original issue discount as it accrues in accordance with a constant yield method based on a compounding of interest before the receipt of cash payments to which such income is attributable.</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Sale, Exchange, Redemption or Other Taxable Disposition of the Notes</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Upon the sale, exchange, redemption or other taxable disposition of the notes, a U.S. Holder will generally recognize gain or loss equal to the difference, if any, between (i) the amount realized upon the sale, exchange, redemption or other taxable disposition, other than amounts attributable to accrued and unpaid interest (which will be treated as interest and recognized as ordinary interest income to the extent such interest has not been previously included in income) and (ii) the U.S. Holder’s adjusted tax basis in the notes. The amount realized by a U.S. Holder is the sum of cash plus the fair market value of all other property received on such sale, exchange, redemption or other taxable disposition. A U.S. Holder’s adjusted tax basis in a note will generally equal the cost of the note to such holder.</w:t>
      </w:r>
    </w:p>
    <w:p>
      <w:pPr>
        <w:spacing w:after="0" w:line="146" w:lineRule="exact"/>
        <w:rPr>
          <w:sz w:val="20"/>
          <w:szCs w:val="20"/>
          <w:color w:val="auto"/>
        </w:rPr>
      </w:pPr>
    </w:p>
    <w:p>
      <w:pPr>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Such gain or loss will generally be long-term capital gain or loss if, at the time of the sale, exchange, redemption, or other taxable disposition, the U.S. Holder’s holding period in the notes exceeds one year. For non-corporate U.S. Holders, long-term capital gains are currently taxed at a lower rate than ordinary income. The deductibility of capital losses is subject to limitations. U.S. Holders are urged to consult their own tax advisors regarding the deductibility of capital losses in light of their particular circumstances.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Medicare Tax</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3"/>
          <w:szCs w:val="13"/>
          <w:color w:val="auto"/>
        </w:rPr>
        <w:t>U.S. Holders who are individuals, estates or certain trusts are subject to an additional 3.8% Medicare tax on the lesser of (a) the U.S. Holder’s “net</w:t>
      </w:r>
    </w:p>
    <w:p>
      <w:pPr>
        <w:spacing w:after="0" w:line="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investment income” (or undistributed “net investment income” in the case of an estate or trust) for the relevant taxable year and (b) the excess of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U.S. Holder’s modified gross income for the taxable year over a certain threshold (which in the case of individuals will be between $125,000 and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$250,000 depending on the individual’s circumstances). Net investment income will generally include interest income and net gains from the disposition</w:t>
      </w:r>
    </w:p>
    <w:p>
      <w:pPr>
        <w:spacing w:after="0" w:line="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of the notes, unless such interest income or net gains are derived in the ordinary course of the conduct of a trade or business (other than a trade or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business that consists of certain passive or trading activities). A U.S. Holder that is an individual, estate or trust should consult its tax advisor regarding</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applicability of the Medicare tax to its income and gains in respect of its investment in the notes.</w:t>
      </w:r>
    </w:p>
    <w:p>
      <w:pPr>
        <w:spacing w:after="0" w:line="2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Backup Withholding and Information Reporting</w:t>
      </w:r>
    </w:p>
    <w:p>
      <w:pPr>
        <w:spacing w:after="0" w:line="92" w:lineRule="exact"/>
        <w:rPr>
          <w:sz w:val="20"/>
          <w:szCs w:val="20"/>
          <w:color w:val="auto"/>
        </w:rPr>
      </w:pPr>
    </w:p>
    <w:p>
      <w:pPr>
        <w:ind w:left="1380" w:right="359" w:firstLine="341"/>
        <w:spacing w:after="0" w:line="253" w:lineRule="auto"/>
        <w:rPr>
          <w:sz w:val="20"/>
          <w:szCs w:val="20"/>
          <w:color w:val="auto"/>
        </w:rPr>
      </w:pPr>
      <w:r>
        <w:rPr>
          <w:rFonts w:ascii="Times New Roman" w:cs="Times New Roman" w:eastAsia="Times New Roman" w:hAnsi="Times New Roman"/>
          <w:sz w:val="14"/>
          <w:szCs w:val="14"/>
          <w:color w:val="auto"/>
        </w:rPr>
        <w:t>In general, a U.S. Holder will be subject to U.S. federal backup withholding at the applicable statutory rate with respect to payments on the notes and the proceeds of a sale, exchange, redemption or other taxable disposition of the notes, unless the U.S. Holder timely provides its taxpayer identification number to the applicable withholding agent and certifies, under penalty of perjury, that it is not subject to backup withholding on an IRS Form W-9 (Request for Taxpayer Identification Number and Certification) or an applicable successor form and otherwise complies with the applicable requirements of the backup withholding rules or the U.S. Holder otherwise establishes by providing appropriate documentation that it is exempt from backup withholding. Backup withholding is not an additional tax. The amount of any backup withholding from a payment to a U.S. Holder may be allowed as a credit against such U.S. Holder’s U.S. federal income tax liability and may entitle such U.S. Holder to a refund, provided the required information is furnished to the IRS in a timely manner. In addition, payments on the notes made to, and the proceeds of a sale or other taxable disposition by, a U.S. Holder will generally be subject to information reporting requirements, unless such U.S. Holder is an exempt recipient and appropriately establishes that exemption.</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Payments of Interest</w:t>
      </w:r>
    </w:p>
    <w:p>
      <w:pPr>
        <w:spacing w:after="0" w:line="92" w:lineRule="exact"/>
        <w:rPr>
          <w:sz w:val="20"/>
          <w:szCs w:val="20"/>
          <w:color w:val="auto"/>
        </w:rPr>
      </w:pPr>
    </w:p>
    <w:p>
      <w:pPr>
        <w:ind w:left="1380" w:right="399" w:firstLine="341"/>
        <w:spacing w:after="0" w:line="260" w:lineRule="auto"/>
        <w:rPr>
          <w:sz w:val="20"/>
          <w:szCs w:val="20"/>
          <w:color w:val="auto"/>
        </w:rPr>
      </w:pPr>
      <w:r>
        <w:rPr>
          <w:rFonts w:ascii="Times New Roman" w:cs="Times New Roman" w:eastAsia="Times New Roman" w:hAnsi="Times New Roman"/>
          <w:sz w:val="14"/>
          <w:szCs w:val="14"/>
          <w:color w:val="auto"/>
        </w:rPr>
        <w:t>Subject to the discussions below under “—Backup Withholding and Information Reporting” and “—FATCA,” a Non-U.S. Holder generally will not be subject to U.S. federal income or withholding tax on interest paid on the notes as long as that interest is not “effectively connected” with the Non-U.S. Holder’s conduct of a trade or business within the United States (and, if required by an applicable income tax treaty, is not attributable to a U.S. permanent establishment or fixed base maintained by the Non-U.S. Holder in the United States) and:</w:t>
      </w:r>
    </w:p>
    <w:p>
      <w:pPr>
        <w:spacing w:after="0" w:line="66" w:lineRule="exact"/>
        <w:rPr>
          <w:sz w:val="20"/>
          <w:szCs w:val="20"/>
          <w:color w:val="auto"/>
        </w:rPr>
      </w:pPr>
    </w:p>
    <w:p>
      <w:pPr>
        <w:ind w:left="2120" w:right="319" w:hanging="327"/>
        <w:spacing w:after="0" w:line="28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does not, directly or indirectly, actually or constructively own 10% or more of the total combined voting power of all classes of our stock entitled to vote;</w:t>
      </w:r>
    </w:p>
    <w:p>
      <w:pPr>
        <w:spacing w:after="0" w:line="52" w:lineRule="exact"/>
        <w:rPr>
          <w:rFonts w:ascii="Times New Roman" w:cs="Times New Roman" w:eastAsia="Times New Roman" w:hAnsi="Times New Roman"/>
          <w:sz w:val="14"/>
          <w:szCs w:val="14"/>
          <w:color w:val="auto"/>
        </w:rPr>
      </w:pPr>
    </w:p>
    <w:p>
      <w:pPr>
        <w:ind w:left="2120" w:right="579" w:hanging="327"/>
        <w:spacing w:after="0" w:line="28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not a “controlled foreign corporation” for U.S. federal income tax purposes that is related to us, actually or by attribution, through stock ownership;</w:t>
      </w:r>
    </w:p>
    <w:p>
      <w:pPr>
        <w:spacing w:after="0" w:line="52" w:lineRule="exact"/>
        <w:rPr>
          <w:rFonts w:ascii="Times New Roman" w:cs="Times New Roman" w:eastAsia="Times New Roman" w:hAnsi="Times New Roman"/>
          <w:sz w:val="14"/>
          <w:szCs w:val="14"/>
          <w:color w:val="auto"/>
        </w:rPr>
      </w:pPr>
    </w:p>
    <w:p>
      <w:pPr>
        <w:ind w:left="2120" w:right="399" w:hanging="327"/>
        <w:spacing w:after="0" w:line="28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not a bank receiving the interest pursuant to a loan agreement entered into in the ordinary course of the Non-U.S. Holder’s trade or business; and</w:t>
      </w:r>
    </w:p>
    <w:p>
      <w:pPr>
        <w:spacing w:after="0" w:line="52" w:lineRule="exact"/>
        <w:rPr>
          <w:rFonts w:ascii="Times New Roman" w:cs="Times New Roman" w:eastAsia="Times New Roman" w:hAnsi="Times New Roman"/>
          <w:sz w:val="14"/>
          <w:szCs w:val="14"/>
          <w:color w:val="auto"/>
        </w:rPr>
      </w:pPr>
    </w:p>
    <w:p>
      <w:pPr>
        <w:ind w:left="2120" w:right="279" w:hanging="327"/>
        <w:spacing w:after="0" w:line="274" w:lineRule="auto"/>
        <w:tabs>
          <w:tab w:leader="none" w:pos="21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(i) the Non-U.S. Holder certifies under penalties of perjury on IRS Form W-8BEN or W-8BEN-E, as applicable, or an applicable successor form that it is not a United States Person, and provides its name, address and certain other required information or (ii) a securities clearing organization, bank or other financial institution that holds customers’ securities in the ordinary course of its trade or business and holds the notes on behalf of the Non-U.S. Holder certifies under penalties of perjury that the certification referred to in clause</w:t>
      </w:r>
    </w:p>
    <w:p>
      <w:pPr>
        <w:spacing w:after="0" w:line="1" w:lineRule="exact"/>
        <w:rPr>
          <w:rFonts w:ascii="Times New Roman" w:cs="Times New Roman" w:eastAsia="Times New Roman" w:hAnsi="Times New Roman"/>
          <w:sz w:val="13"/>
          <w:szCs w:val="13"/>
          <w:color w:val="auto"/>
        </w:rPr>
      </w:pPr>
    </w:p>
    <w:p>
      <w:pPr>
        <w:ind w:left="2120" w:right="319"/>
        <w:spacing w:after="0" w:line="25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 has been received from the Non-U.S. Holder or an intermediate financial institution and furnishes to the applicable withholding agent a copy thereof.</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color w:val="auto"/>
        </w:rPr>
        <w:t>A Non-U.S. Holder that does not qualify for exemption from withholding as described above will generally be subject to withholding of U.S. federal income tax at a rate of 30% on payments of interest on the notes (except as described below with respect to effectively connected income). A Non-U.S. Holder may be entitled to the benefits of an income tax treaty under which interest on the notes is subject to a reduced rate of withholding tax or is exempt from U.S. withholding tax, provided the Non-U.S. Holder furnishes the applicable withholding agent with a properly executed IRS Form W-8BEN or W-8BEN-E, as applicable, or an applicable successor form claiming the reduction or exemption and the Non-U.S. Holder complies with any other applicable procedures.</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Sale, Exchange, Redemption or Other Taxable Disposition of the Notes</w:t>
      </w:r>
    </w:p>
    <w:p>
      <w:pPr>
        <w:spacing w:after="0" w:line="92"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Generally, subject to the discussions below under “—Backup Withholding and Information Reporting” and “—FATCA,” any gain recognized by a Non-U.S. Holder on the sale, exchange, redemption or other taxable disposition of a note (other than amounts attributable to accrued and unpaid interest, which will generally be treated as described under “—Payments of Interest” above) will be exempt from U.S. federal income and withholding tax, unless</w:t>
      </w:r>
    </w:p>
    <w:p>
      <w:pPr>
        <w:spacing w:after="0" w:line="66" w:lineRule="exact"/>
        <w:rPr>
          <w:sz w:val="20"/>
          <w:szCs w:val="20"/>
          <w:color w:val="auto"/>
        </w:rPr>
      </w:pPr>
    </w:p>
    <w:p>
      <w:pPr>
        <w:ind w:left="2120" w:right="299" w:hanging="327"/>
        <w:spacing w:after="0" w:line="260"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is attributable to a permanent establishment or fixed base maintained by the Non-U.S. Holder in the United States), in which case the Non-U.S. Holder generally will be subject to U.S. federal income tax in the manner described below under “— Effectively Connected Income”; or</w:t>
      </w:r>
    </w:p>
    <w:p>
      <w:pPr>
        <w:spacing w:after="0" w:line="66" w:lineRule="exact"/>
        <w:rPr>
          <w:rFonts w:ascii="Times New Roman" w:cs="Times New Roman" w:eastAsia="Times New Roman" w:hAnsi="Times New Roman"/>
          <w:sz w:val="14"/>
          <w:szCs w:val="14"/>
          <w:color w:val="auto"/>
        </w:rPr>
      </w:pPr>
    </w:p>
    <w:p>
      <w:pPr>
        <w:ind w:left="2120" w:right="299" w:hanging="327"/>
        <w:spacing w:after="0" w:line="260"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during the taxable year of the sale or other taxable disposition and certain other conditions are met, in which case the Non-U.S. Holder generally will be subject to U.S. federal income tax at a rate of 30% (unless a lower treaty rate applies) on the amount by which its U.S. source capital gains exceed its U.S. source capital losses.</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Effectively Connected Income</w:t>
      </w:r>
    </w:p>
    <w:p>
      <w:pPr>
        <w:spacing w:after="0" w:line="92"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If interest or gain recognized by a Non-U.S. Holder on a note is “effectively connected” with the Non-U.S. Holder’s conduct of a trade or business within the United States (and, if required by an applicable income tax treaty, is attributable to a permanent establishment or fixed base maintained by the Non-U.S. Holder in the United States), then, subject to the discussions below under “—Backup Withholding and Information Reporting” and “— FATCA,” the Non-U.S. Holder will be exempt from the withholding tax on such interest if the Non-U.S. Holder provides the applicable withholding agent with a properly completed and executed IRS Form W-8ECI or an applicable successor form, but the Non-U.S. Holder will generally be subject to U.S. federal income tax on such interest or gain as if such Non-U.S. Holder were a United States Person. In addition to such U.S. federal income tax, if the Non-U.S. Holder is treated as a corporation for U.S. federal income tax purposes, it may be subject to an additional branch profits tax, currently at a rate of 30% or such lower rate provided by an applicable income tax treaty.</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i w:val="1"/>
          <w:iCs w:val="1"/>
          <w:color w:val="auto"/>
        </w:rPr>
        <w:t>Backup Withholding and Information Reporting</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Generally, we (or the applicable withholding agent) must report annually to the IRS and to each Non-U.S. Holder the amount of interest paid to the Non-U.S. Holder and the amount of tax withheld, if any, from those payments. These reporting requirements apply regardless of whether U.S. withholding tax on such payments was reduced or eliminated by any applicable tax treaty or otherwise. Copies of the information returns reporting those payments and the amounts withheld may also be made available to the tax authorities in the country where a Non-U.S. Holder is a resident under the provisions of an applicable income tax treaty or agreement. Backup withholding generally will not apply to payments of interest on the notes made to a Non-U.S. Holder if the certification described above under “—Payments of Interest” is received from the Non-U.S. Holder.</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19" w:firstLine="341"/>
        <w:spacing w:after="0" w:line="254" w:lineRule="auto"/>
        <w:rPr>
          <w:sz w:val="20"/>
          <w:szCs w:val="20"/>
          <w:color w:val="auto"/>
        </w:rPr>
      </w:pPr>
      <w:r>
        <w:rPr>
          <w:rFonts w:ascii="Times New Roman" w:cs="Times New Roman" w:eastAsia="Times New Roman" w:hAnsi="Times New Roman"/>
          <w:sz w:val="14"/>
          <w:szCs w:val="14"/>
          <w:color w:val="auto"/>
        </w:rPr>
        <w:t>Backup withholding and information reporting will generally not apply to payments of proceeds from the sale or other taxable disposition of a note made to a Non-U.S. Holder by or through the foreign office of a broker. However, information reporting requirements, and possibly backup withholding, will apply if such broker is, for U.S. federal income tax purposes, a United States Person or has certain other enumerated connections with the United States, unless such broker has documentary evidence in its records that the Non-U.S. Holder is not a United States Person and certain other conditions are met, or the Non-U.S. Holder otherwise establishes an exemption. Payments of proceeds from the sale or other taxable disposition of a note made to a Non-U.S. Holder by or through the U.S. office of a broker are subject to information reporting and backup withholding at the applicable rate unless the Non-U.S. Holder certifies, under penalties of perjury, that it is not a United States Person and it satisfies certain other conditions, or the Non-U.S. Holder otherwise establishes an exemption.</w:t>
      </w:r>
    </w:p>
    <w:p>
      <w:pPr>
        <w:spacing w:after="0" w:line="144" w:lineRule="exact"/>
        <w:rPr>
          <w:sz w:val="20"/>
          <w:szCs w:val="20"/>
          <w:color w:val="auto"/>
        </w:rPr>
      </w:pPr>
    </w:p>
    <w:p>
      <w:pPr>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Backup withholding is not an additional tax. The amount of any backup withholding from a payment to a Non-U.S. Holder may be allowed as a credit against such Non-U.S. Holder’s U.S. federal income tax liability and may entitle such Non-U.S. Holder to a refund, provided the required information is furnished to the IRS in a timely manner.</w:t>
      </w:r>
    </w:p>
    <w:p>
      <w:pPr>
        <w:spacing w:after="0" w:line="136" w:lineRule="exact"/>
        <w:rPr>
          <w:sz w:val="20"/>
          <w:szCs w:val="20"/>
          <w:color w:val="auto"/>
        </w:rPr>
      </w:pPr>
    </w:p>
    <w:p>
      <w:pPr>
        <w:ind w:left="1380" w:right="659" w:firstLine="341"/>
        <w:spacing w:after="0" w:line="281" w:lineRule="auto"/>
        <w:rPr>
          <w:sz w:val="20"/>
          <w:szCs w:val="20"/>
          <w:color w:val="auto"/>
        </w:rPr>
      </w:pPr>
      <w:r>
        <w:rPr>
          <w:rFonts w:ascii="Times New Roman" w:cs="Times New Roman" w:eastAsia="Times New Roman" w:hAnsi="Times New Roman"/>
          <w:sz w:val="14"/>
          <w:szCs w:val="14"/>
          <w:color w:val="auto"/>
        </w:rPr>
        <w:t>Non-U.S. Holders are urged to consult their tax advisors regarding the application of information reporting and backup withholding in their particular situations, the availability of an exemption therefrom, and the procedures for obtaining such an exemption, if available.</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FATCA</w:t>
      </w:r>
    </w:p>
    <w:p>
      <w:pPr>
        <w:spacing w:after="0" w:line="92" w:lineRule="exact"/>
        <w:rPr>
          <w:sz w:val="20"/>
          <w:szCs w:val="20"/>
          <w:color w:val="auto"/>
        </w:rPr>
      </w:pPr>
    </w:p>
    <w:p>
      <w:pPr>
        <w:ind w:left="1380" w:right="239" w:firstLine="341"/>
        <w:spacing w:after="0" w:line="253" w:lineRule="auto"/>
        <w:rPr>
          <w:sz w:val="20"/>
          <w:szCs w:val="20"/>
          <w:color w:val="auto"/>
        </w:rPr>
      </w:pPr>
      <w:r>
        <w:rPr>
          <w:rFonts w:ascii="Times New Roman" w:cs="Times New Roman" w:eastAsia="Times New Roman" w:hAnsi="Times New Roman"/>
          <w:sz w:val="14"/>
          <w:szCs w:val="14"/>
          <w:color w:val="auto"/>
        </w:rPr>
        <w:t>Under Sections 1471 through 1474 of the Code (such Sections commonly referred to as “FATCA”), a 30% U.S. federal withholding tax will generally apply to payments of interest on the notes made to a foreign financial institution (including amounts paid to a foreign financial institution on or behalf of a holder) and certain other nonfinancial foreign entities, unless (i) the foreign financial institution enters into an agreement with the U.S. Treasury to, among other things, collect and provide to it substantial information regarding such institution’s United States financial account holders, including certain account holders that are foreign entities with United States owners, (ii) the non-financial foreign entity provides the applicable withholding agent with a certification that it does not have any substantial United States owners or a certification identifying the direct and indirect substantial United States owners of the entity and meets certain other specified requirements or (iii) the foreign financial institution or non-financial foreign entity otherwise qualifies for an exemption from these rules. If the country in which a payee is resident has entered into an “intergovernmental agreement” with the United States regarding FATCA, that agreement may modify the above rules.</w:t>
      </w:r>
    </w:p>
    <w:p>
      <w:pPr>
        <w:spacing w:after="0" w:line="147" w:lineRule="exact"/>
        <w:rPr>
          <w:sz w:val="20"/>
          <w:szCs w:val="20"/>
          <w:color w:val="auto"/>
        </w:rPr>
      </w:pPr>
    </w:p>
    <w:p>
      <w:pPr>
        <w:jc w:val="both"/>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While withholding under FATCA would also have applied to payments of gross proceeds from the sale or other taxable disposition of the notes, proposed U.S. Treasury regulations eliminate FATCA withholding on payments of gross proceeds entirely. Although these recent Treasury regulations are not final, the preamble to these Treasury regulations indicates that taxpayers may rely on them pending their finalization.</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Prospective investors are urged to consult their own tax advisors regarding the application of FATCA to the notes.</w:t>
      </w:r>
    </w:p>
    <w:p>
      <w:pPr>
        <w:spacing w:after="0" w:line="256" w:lineRule="exact"/>
        <w:rPr>
          <w:sz w:val="20"/>
          <w:szCs w:val="20"/>
          <w:color w:val="auto"/>
        </w:rPr>
      </w:pPr>
    </w:p>
    <w:p>
      <w:pPr>
        <w:ind w:left="1380" w:right="319"/>
        <w:spacing w:after="0" w:line="261" w:lineRule="auto"/>
        <w:rPr>
          <w:sz w:val="20"/>
          <w:szCs w:val="20"/>
          <w:color w:val="auto"/>
        </w:rPr>
      </w:pPr>
      <w:r>
        <w:rPr>
          <w:rFonts w:ascii="Times New Roman" w:cs="Times New Roman" w:eastAsia="Times New Roman" w:hAnsi="Times New Roman"/>
          <w:sz w:val="14"/>
          <w:szCs w:val="14"/>
          <w:b w:val="1"/>
          <w:bCs w:val="1"/>
          <w:color w:val="auto"/>
        </w:rPr>
        <w:t>The U.S. federal income tax discussion set forth above is included for general information only and may not be applicable depending upon an investor’s particular situation. Investors are urged to consult their own tax advisors with respect to the tax consequences to them of the acquisition, ownership and disposition of the notes, including the tax consequences under state, local, estate, foreign and other tax laws and tax treaties and the possible effects of changes in U.S. or other tax laws.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6" w:lineRule="exact"/>
        <w:rPr>
          <w:sz w:val="20"/>
          <w:szCs w:val="20"/>
          <w:color w:val="auto"/>
        </w:rPr>
      </w:pPr>
    </w:p>
    <w:p>
      <w:pPr>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BNP Paribas Securities Corp., Citigroup Global Markets Inc., ING Financial Markets LLC, J.P. Morgan Securities LLC and Wells Fargo Securities, LLC are acting as representatives of the underwriters named below. Subject to the terms and conditions stated in the underwriting agreement dated the date of this prospectus supplement, each underwriter named below has severally agreed to purchase, and we have agreed to sell to each underwriter, the principal amount of notes set forth opposite such underwriter’s name.</w:t>
      </w:r>
    </w:p>
    <w:p>
      <w:pPr>
        <w:spacing w:after="0" w:line="145" w:lineRule="exact"/>
        <w:rPr>
          <w:sz w:val="20"/>
          <w:szCs w:val="20"/>
          <w:color w:val="auto"/>
        </w:rPr>
      </w:pPr>
    </w:p>
    <w:tbl>
      <w:tblPr>
        <w:tblLayout w:type="fixed"/>
        <w:tblInd w:w="24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0" w:type="dxa"/>
            <w:vAlign w:val="bottom"/>
          </w:tcPr>
          <w:p>
            <w:pPr>
              <w:spacing w:after="0"/>
              <w:rPr>
                <w:sz w:val="1"/>
                <w:szCs w:val="1"/>
                <w:color w:val="auto"/>
              </w:rPr>
            </w:pPr>
          </w:p>
        </w:tc>
      </w:tr>
      <w:tr>
        <w:trPr>
          <w:trHeight w:val="115"/>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120" w:type="dxa"/>
            <w:vAlign w:val="bottom"/>
          </w:tcPr>
          <w:p>
            <w:pPr>
              <w:spacing w:after="0"/>
              <w:rPr>
                <w:sz w:val="10"/>
                <w:szCs w:val="10"/>
                <w:color w:val="auto"/>
              </w:rPr>
            </w:pPr>
          </w:p>
        </w:tc>
        <w:tc>
          <w:tcPr>
            <w:tcW w:w="96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Amount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2036 Blue</w:t>
            </w:r>
          </w:p>
        </w:tc>
        <w:tc>
          <w:tcPr>
            <w:tcW w:w="0" w:type="dxa"/>
            <w:vAlign w:val="bottom"/>
          </w:tcPr>
          <w:p>
            <w:pPr>
              <w:spacing w:after="0"/>
              <w:rPr>
                <w:sz w:val="1"/>
                <w:szCs w:val="1"/>
                <w:color w:val="auto"/>
              </w:rPr>
            </w:pPr>
          </w:p>
        </w:tc>
      </w:tr>
      <w:tr>
        <w:trPr>
          <w:trHeight w:val="124"/>
        </w:trPr>
        <w:tc>
          <w:tcPr>
            <w:tcW w:w="42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2033 Notes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1"/>
                <w:szCs w:val="11"/>
                <w:b w:val="1"/>
                <w:bCs w:val="1"/>
                <w:color w:val="auto"/>
              </w:rPr>
              <w:t>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BNP Paribas Securities Corp.</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68,500,000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87,500,000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87,500,000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ING Financial Markets LLC</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87,500,000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87,500,000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87,500,000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87,500,000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80,000,000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19,000,000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19,000,000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19,000,000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ANZ Securities, Inc.</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SEB Securities, Inc.</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9,000,000</w:t>
            </w:r>
          </w:p>
        </w:tc>
        <w:tc>
          <w:tcPr>
            <w:tcW w:w="22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Siebert Williams Shank &amp; Co., LLC</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380" w:right="259" w:firstLine="341"/>
        <w:spacing w:after="0" w:line="281"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5" w:lineRule="exact"/>
        <w:rPr>
          <w:sz w:val="20"/>
          <w:szCs w:val="20"/>
          <w:color w:val="auto"/>
        </w:rPr>
      </w:pPr>
    </w:p>
    <w:p>
      <w:pPr>
        <w:ind w:left="1380" w:right="299" w:firstLine="341"/>
        <w:spacing w:after="0" w:line="281"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25" w:lineRule="exact"/>
        <w:rPr>
          <w:sz w:val="20"/>
          <w:szCs w:val="20"/>
          <w:color w:val="auto"/>
        </w:rPr>
      </w:pPr>
    </w:p>
    <w:p>
      <w:pPr>
        <w:ind w:left="1380" w:right="559" w:firstLine="341"/>
        <w:spacing w:after="0" w:line="280" w:lineRule="auto"/>
        <w:rPr>
          <w:sz w:val="20"/>
          <w:szCs w:val="20"/>
          <w:color w:val="auto"/>
        </w:rPr>
      </w:pPr>
      <w:r>
        <w:rPr>
          <w:rFonts w:ascii="Times New Roman" w:cs="Times New Roman" w:eastAsia="Times New Roman" w:hAnsi="Times New Roman"/>
          <w:sz w:val="13"/>
          <w:szCs w:val="13"/>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spacing w:after="0" w:line="1" w:lineRule="exact"/>
        <w:rPr>
          <w:sz w:val="20"/>
          <w:szCs w:val="20"/>
          <w:color w:val="auto"/>
        </w:rPr>
      </w:pPr>
    </w:p>
    <w:p>
      <w:pPr>
        <w:ind w:left="1380" w:right="279"/>
        <w:spacing w:after="0" w:line="252" w:lineRule="auto"/>
        <w:rPr>
          <w:sz w:val="20"/>
          <w:szCs w:val="20"/>
          <w:color w:val="auto"/>
        </w:rPr>
      </w:pPr>
      <w:r>
        <w:rPr>
          <w:rFonts w:ascii="Times New Roman" w:cs="Times New Roman" w:eastAsia="Times New Roman" w:hAnsi="Times New Roman"/>
          <w:sz w:val="14"/>
          <w:szCs w:val="14"/>
          <w:color w:val="auto"/>
        </w:rPr>
        <w:t>0.375% per 2033 note and 0.400% per 2036 blue note. Any such securities dealers may resell any notes purchased from the underwriters to certain other brokers or dealers at a discount from the initial public offering price not to exceed 0.250% per 2033 note and 0.250% per 2036 blue note. If all the notes are not sold at the initial public offering price, less applicable discounts, the underwriters may change the public offering price and the discounts. The underwriters may offer and sell notes through certain of their affiliates.</w:t>
      </w:r>
    </w:p>
    <w:p>
      <w:pPr>
        <w:spacing w:after="0" w:line="146" w:lineRule="exact"/>
        <w:rPr>
          <w:sz w:val="20"/>
          <w:szCs w:val="20"/>
          <w:color w:val="auto"/>
        </w:rPr>
      </w:pPr>
    </w:p>
    <w:p>
      <w:pPr>
        <w:ind w:left="1380" w:right="659" w:firstLine="341"/>
        <w:spacing w:after="0" w:line="281" w:lineRule="auto"/>
        <w:rPr>
          <w:sz w:val="20"/>
          <w:szCs w:val="20"/>
          <w:color w:val="auto"/>
        </w:rPr>
      </w:pPr>
      <w:r>
        <w:rPr>
          <w:rFonts w:ascii="Times New Roman" w:cs="Times New Roman" w:eastAsia="Times New Roman" w:hAnsi="Times New Roman"/>
          <w:sz w:val="14"/>
          <w:szCs w:val="14"/>
          <w:color w:val="auto"/>
        </w:rPr>
        <w:t>The following table shows the underwriting discounts that we are to pay to the underwriters in connection with this offering (expressed as a percentage of the principal amount of the notes).</w:t>
      </w:r>
    </w:p>
    <w:p>
      <w:pPr>
        <w:spacing w:after="0" w:line="14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1"/>
          <w:szCs w:val="11"/>
          <w:b w:val="1"/>
          <w:bCs w:val="1"/>
          <w:color w:val="auto"/>
        </w:rPr>
        <w:t>Paid by</w:t>
      </w:r>
    </w:p>
    <w:p>
      <w:pPr>
        <w:jc w:val="center"/>
        <w:ind w:left="4940"/>
        <w:spacing w:after="0" w:line="233" w:lineRule="auto"/>
        <w:rPr>
          <w:sz w:val="20"/>
          <w:szCs w:val="20"/>
          <w:color w:val="auto"/>
        </w:rPr>
      </w:pPr>
      <w:r>
        <w:rPr>
          <w:rFonts w:ascii="Times New Roman" w:cs="Times New Roman" w:eastAsia="Times New Roman" w:hAnsi="Times New Roman"/>
          <w:sz w:val="11"/>
          <w:szCs w:val="11"/>
          <w:b w:val="1"/>
          <w:bCs w:val="1"/>
          <w:color w:val="auto"/>
        </w:rPr>
        <w:t>Xylem Inc.</w:t>
      </w:r>
    </w:p>
    <w:p>
      <w:pPr>
        <w:spacing w:after="0" w:line="17" w:lineRule="exact"/>
        <w:rPr>
          <w:sz w:val="20"/>
          <w:szCs w:val="20"/>
          <w:color w:val="auto"/>
        </w:rPr>
      </w:pPr>
    </w:p>
    <w:tbl>
      <w:tblPr>
        <w:tblLayout w:type="fixed"/>
        <w:tblInd w:w="2740" w:type="dxa"/>
        <w:tblCellMar>
          <w:top w:w="0" w:type="dxa"/>
          <w:left w:w="0" w:type="dxa"/>
          <w:bottom w:w="0" w:type="dxa"/>
          <w:right w:w="0" w:type="dxa"/>
        </w:tblCellMar>
      </w:tblPr>
      <w:tr>
        <w:trPr>
          <w:trHeight w:val="23"/>
        </w:trPr>
        <w:tc>
          <w:tcPr>
            <w:tcW w:w="5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2033 note</w:t>
            </w: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512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4"/>
                <w:szCs w:val="14"/>
                <w:color w:val="auto"/>
              </w:rPr>
              <w:t>0.625%</w:t>
            </w:r>
          </w:p>
        </w:tc>
        <w:tc>
          <w:tcPr>
            <w:tcW w:w="0" w:type="dxa"/>
            <w:vAlign w:val="bottom"/>
          </w:tcPr>
          <w:p>
            <w:pPr>
              <w:spacing w:after="0"/>
              <w:rPr>
                <w:sz w:val="1"/>
                <w:szCs w:val="1"/>
                <w:color w:val="auto"/>
              </w:rPr>
            </w:pPr>
          </w:p>
        </w:tc>
      </w:tr>
      <w:tr>
        <w:trPr>
          <w:trHeight w:val="182"/>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Per 2036 blue note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0.650%</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estimate that our total expenses for this offering, excluding the underwriting discounts, will be $2,604,952.</w:t>
      </w:r>
    </w:p>
    <w:p>
      <w:pPr>
        <w:spacing w:after="0" w:line="1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39" w:firstLine="341"/>
        <w:spacing w:after="0" w:line="257" w:lineRule="auto"/>
        <w:rPr>
          <w:sz w:val="20"/>
          <w:szCs w:val="20"/>
          <w:color w:val="auto"/>
        </w:rPr>
      </w:pPr>
      <w:r>
        <w:rPr>
          <w:rFonts w:ascii="Times New Roman" w:cs="Times New Roman" w:eastAsia="Times New Roman" w:hAnsi="Times New Roman"/>
          <w:sz w:val="14"/>
          <w:szCs w:val="14"/>
          <w:color w:val="auto"/>
        </w:rPr>
        <w:t>The notes are new issues of securities, and there is currently no established trading market. We do not intend to apply for listing of the notes of either series on any securities exchange or for inclusion of the notes of either series on any automated dealer quotation system. Although the underwriters have advised us that they intend to make a market in the notes, they are not obligated to do so. The underwriters may discontinue any market making in the notes at any time without notice in their sole discretion. Therefore, we cannot assure you that a liquid trading market will develop for the notes, that you will be able to sell your notes at a particular time or that the prices that you receive when you sell will be favorable.</w:t>
      </w:r>
    </w:p>
    <w:p>
      <w:pPr>
        <w:spacing w:after="0" w:line="143" w:lineRule="exact"/>
        <w:rPr>
          <w:sz w:val="20"/>
          <w:szCs w:val="20"/>
          <w:color w:val="auto"/>
        </w:rPr>
      </w:pPr>
    </w:p>
    <w:p>
      <w:pPr>
        <w:ind w:left="1380" w:right="439" w:firstLine="341"/>
        <w:spacing w:after="0" w:line="254" w:lineRule="auto"/>
        <w:rPr>
          <w:sz w:val="20"/>
          <w:szCs w:val="20"/>
          <w:color w:val="auto"/>
        </w:rPr>
      </w:pPr>
      <w:r>
        <w:rPr>
          <w:rFonts w:ascii="Times New Roman" w:cs="Times New Roman" w:eastAsia="Times New Roman" w:hAnsi="Times New Roman"/>
          <w:sz w:val="14"/>
          <w:szCs w:val="14"/>
          <w:color w:val="auto"/>
        </w:rPr>
        <w:t>In connection with this offering, the underwriters may engage in overallotments, stabilizing transactions and syndicate covering transactions in accordance with Regulation M under the Exchange Act. Overallotment involves sales in excess of the offering size, which creates a short position for the underwriters. Stabilizing transactions involve bids to purchase the notes in the open market for the purpose of pegging, fixing or maintaining the price of the notes, as applicable. Syndicate covering transactions involve purchases of the notes in the open market after the distribution has been completed in order to cover short positions. Stabilizing transactions and syndicate covering transactions may cause the price of the notes to be higher than it would otherwise be in the absence of those transactions. If the underwriters engage in stabilizing or syndicate covering transactions, they may discontinue them at any time without notice.</w:t>
      </w:r>
    </w:p>
    <w:p>
      <w:pPr>
        <w:spacing w:after="0" w:line="147"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36" w:lineRule="exact"/>
        <w:rPr>
          <w:sz w:val="20"/>
          <w:szCs w:val="20"/>
          <w:color w:val="auto"/>
        </w:rPr>
      </w:pPr>
    </w:p>
    <w:p>
      <w:pPr>
        <w:ind w:left="1380" w:right="379" w:firstLine="341"/>
        <w:spacing w:after="0" w:line="260" w:lineRule="auto"/>
        <w:rPr>
          <w:sz w:val="20"/>
          <w:szCs w:val="20"/>
          <w:color w:val="auto"/>
        </w:rPr>
      </w:pPr>
      <w:r>
        <w:rPr>
          <w:rFonts w:ascii="Times New Roman" w:cs="Times New Roman" w:eastAsia="Times New Roman" w:hAnsi="Times New Roman"/>
          <w:sz w:val="14"/>
          <w:szCs w:val="14"/>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40"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We expect to deliver the notes against payment for the notes on or about the date specified in the last paragraph of the cover page of this prospectus supplement, which will be the seventh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notes on any date prior to the first business day before delivery will be required, by virtue of the fact that the notes initially will settle in T+7, to specify alternative settlement arrangements to prevent a failed settlement. As used in this paragraph, the term “business day” means any day, other than a Saturday or Sunday, that is not a day on which banking institutions in The City of New York are authorized or required by law or executive order to close.</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2" w:lineRule="exact"/>
        <w:rPr>
          <w:sz w:val="20"/>
          <w:szCs w:val="20"/>
          <w:color w:val="auto"/>
        </w:rPr>
      </w:pPr>
    </w:p>
    <w:p>
      <w:pPr>
        <w:ind w:left="1380" w:right="339" w:firstLine="341"/>
        <w:spacing w:after="0" w:line="255" w:lineRule="auto"/>
        <w:rPr>
          <w:sz w:val="20"/>
          <w:szCs w:val="20"/>
          <w:color w:val="auto"/>
        </w:rPr>
      </w:pPr>
      <w:r>
        <w:rPr>
          <w:rFonts w:ascii="Times New Roman" w:cs="Times New Roman" w:eastAsia="Times New Roman" w:hAnsi="Times New Roman"/>
          <w:sz w:val="14"/>
          <w:szCs w:val="14"/>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Certain affiliates of the underwriters are lenders, and in some cases agents or managers for the lenders, under our revolving credit facility.</w:t>
      </w:r>
    </w:p>
    <w:p>
      <w:pPr>
        <w:spacing w:after="0" w:line="146" w:lineRule="exact"/>
        <w:rPr>
          <w:sz w:val="20"/>
          <w:szCs w:val="20"/>
          <w:color w:val="auto"/>
        </w:rPr>
      </w:pPr>
    </w:p>
    <w:p>
      <w:pPr>
        <w:ind w:left="1380" w:right="599" w:firstLine="341"/>
        <w:spacing w:after="0" w:line="265"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spacing w:after="0" w:line="253" w:lineRule="auto"/>
        <w:rPr>
          <w:sz w:val="20"/>
          <w:szCs w:val="20"/>
          <w:color w:val="auto"/>
        </w:rPr>
      </w:pPr>
      <w:r>
        <w:rPr>
          <w:rFonts w:ascii="Times New Roman" w:cs="Times New Roman" w:eastAsia="Times New Roman" w:hAnsi="Times New Roman"/>
          <w:sz w:val="14"/>
          <w:szCs w:val="14"/>
          <w:color w:val="auto"/>
        </w:rPr>
        <w:t>account and for the accounts of their customers and may at any time hold long and short positions in such securities and instruments. Such investment and securities activities may involve our securities and instruments. In addition,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4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In addition, Deutsche Bank Securities Inc., one of the underwriters, is an affiliate of the trustee under the indenture governing the notes.</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92"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40" w:lineRule="exact"/>
        <w:rPr>
          <w:sz w:val="20"/>
          <w:szCs w:val="20"/>
          <w:color w:val="auto"/>
        </w:rPr>
      </w:pPr>
    </w:p>
    <w:p>
      <w:pPr>
        <w:ind w:left="1380" w:right="419" w:firstLine="341"/>
        <w:spacing w:after="0" w:line="260"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0" w:lineRule="exact"/>
        <w:rPr>
          <w:sz w:val="20"/>
          <w:szCs w:val="20"/>
          <w:color w:val="auto"/>
        </w:rPr>
      </w:pPr>
    </w:p>
    <w:p>
      <w:pPr>
        <w:ind w:left="1380" w:right="319" w:firstLine="341"/>
        <w:spacing w:after="0" w:line="281"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92" w:lineRule="exact"/>
        <w:rPr>
          <w:sz w:val="20"/>
          <w:szCs w:val="20"/>
          <w:color w:val="auto"/>
        </w:rPr>
      </w:pPr>
    </w:p>
    <w:p>
      <w:pPr>
        <w:ind w:left="1380" w:right="279" w:firstLine="341"/>
        <w:spacing w:after="0" w:line="253" w:lineRule="auto"/>
        <w:rPr>
          <w:sz w:val="20"/>
          <w:szCs w:val="20"/>
          <w:color w:val="auto"/>
        </w:rPr>
      </w:pPr>
      <w:r>
        <w:rPr>
          <w:rFonts w:ascii="Times New Roman" w:cs="Times New Roman" w:eastAsia="Times New Roman" w:hAnsi="Times New Roman"/>
          <w:sz w:val="14"/>
          <w:szCs w:val="14"/>
          <w:color w:val="auto"/>
        </w:rPr>
        <w:t>This prospectus supplement has been prepared on the basis that any offer of the notes in any Member State of the European Economic Area (“EEA”) will be made pursuant to an exemption under Regulation (EU) 2017/1129 (as amended, the “Prospectus Regulation”) from the requirement to publish a prospectus for offers of notes. Accordingly, any person making or intending to make any offer in that relevant Member State of the EEA of the notes which are the subject of the offering contemplated by this prospectus supplement and the accompanying prospectus may only do so in circumstances in which no obligation arises for us or any of the underwriters to produce a prospectus pursuant to Article 3 of the EU Prospectus Regulation in relation to such offer. Neither we nor the underwriters have authorized, nor do we or they authorize, the making of any offer of notes in circumstances in which an obligation arises for us or the underwriters to publish a prospectus for such offer. For the avoidance of doubt, whilst this document is referred to as a ‘prospectus supplement’ and there are references herein to a ‘prospectus’, neither this prospectus supplement nor the accompanying prospectus is a prospectus for the purposes of the Prospectus Regulation.</w:t>
      </w:r>
    </w:p>
    <w:p>
      <w:pPr>
        <w:spacing w:after="0" w:line="147" w:lineRule="exact"/>
        <w:rPr>
          <w:sz w:val="20"/>
          <w:szCs w:val="20"/>
          <w:color w:val="auto"/>
        </w:rPr>
      </w:pPr>
    </w:p>
    <w:p>
      <w:pPr>
        <w:ind w:left="1380" w:right="359" w:firstLine="341"/>
        <w:spacing w:after="0" w:line="281"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EEA. For these purposes, (a) the expression “retail</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spacing w:after="0" w:line="254" w:lineRule="auto"/>
        <w:rPr>
          <w:sz w:val="20"/>
          <w:szCs w:val="20"/>
          <w:color w:val="auto"/>
        </w:rPr>
      </w:pPr>
      <w:r>
        <w:rPr>
          <w:rFonts w:ascii="Times New Roman" w:cs="Times New Roman" w:eastAsia="Times New Roman" w:hAnsi="Times New Roman"/>
          <w:sz w:val="14"/>
          <w:szCs w:val="14"/>
          <w:color w:val="auto"/>
        </w:rPr>
        <w:t>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Article 2 of the Prospectus Regulation; and (b) the expression “offer” includes the communication in any form and by any means of sufficient information on the terms of the offer and the notes to be offered so as to enable an investor to decide to purchase or subscribe for such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44" w:lineRule="exact"/>
        <w:rPr>
          <w:sz w:val="20"/>
          <w:szCs w:val="20"/>
          <w:color w:val="auto"/>
        </w:rPr>
      </w:pPr>
    </w:p>
    <w:p>
      <w:pPr>
        <w:ind w:left="1380" w:right="379" w:firstLine="341"/>
        <w:spacing w:after="0" w:line="255" w:lineRule="auto"/>
        <w:rPr>
          <w:sz w:val="20"/>
          <w:szCs w:val="20"/>
          <w:color w:val="auto"/>
        </w:rPr>
      </w:pPr>
      <w:r>
        <w:rPr>
          <w:rFonts w:ascii="Times New Roman" w:cs="Times New Roman" w:eastAsia="Times New Roman" w:hAnsi="Times New Roman"/>
          <w:sz w:val="14"/>
          <w:szCs w:val="14"/>
          <w:color w:val="auto"/>
        </w:rPr>
        <w:t>In the EEA, this prospectus supplement and the accompanying prospectus are being distributed only to, and is directed only at, and any offer subsequently made may only be directed at non-retail investors (being persons who are not retail investors as defined in the paragraph above). In the EEA, any investment or investment activity to which this prospectus supplement and the accompanying prospectus relate is available only to, and will be engaged in only with, non-retail investors. This prospectus supplement, the accompanying prospectus and their contents are confidential and should not be distributed, published or reproduced (in whole or in part) or disclosed by any recipients to any other person in the EEA. Any person in the EEA who is a retail investor should not act or rely on this prospectus supplement, the accompanying prospectus or any of their contents.</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This prospectus supplement has been prepared on the basis that any offer of the notes in the United Kingdom (“UK”) will be made pursuant to an exemption from the prohibition on public offers of relevant securities in The Public Offers and Admissions to Trading Regulations 2024 (the “UK POATRs”) in circumstances not requiring a prospectus pursuant to the UK Financial Conduct Authority Prospectus Rules: Admission to Trading on a Regulated Market Sourcebook (the “PRM Sourcebook”). For the avoidance of doubt, whilst this document is referred to as a ‘prospectus supplement’ and there are references herein to a ‘prospectus’, neither this prospectus supplement nor the accompanying prospectus is a prospectus for the purposes of the UK POATRs or the PRM Sourcebook.</w:t>
      </w:r>
    </w:p>
    <w:p>
      <w:pPr>
        <w:spacing w:after="0" w:line="146" w:lineRule="exact"/>
        <w:rPr>
          <w:sz w:val="20"/>
          <w:szCs w:val="20"/>
          <w:color w:val="auto"/>
        </w:rPr>
      </w:pPr>
    </w:p>
    <w:p>
      <w:pPr>
        <w:ind w:left="1380" w:right="359" w:firstLine="341"/>
        <w:spacing w:after="0" w:line="253"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UK. For these purposes, (a) the expression “retail investor” means a person who is neither: (i)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a “qualified investor” as defined in paragraph 15 of Schedule 1 to the UK POATRs; and (b) the expression “offer” includes the communication in any form and by any means of sufficient information on the terms of the offer and the notes to be offered so as to enable an investor to decide to buy or subscribe for such notes. Consequently, no disclosure document required by the FCA Product Disclosure Sourcebook (the “DISC Sourcebook”) for offering or selling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w:t>
      </w:r>
    </w:p>
    <w:p>
      <w:pPr>
        <w:spacing w:after="0" w:line="145"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United Kingdom’s Financial Services and Markets Act 2000, as amended (the “FSMA”). Accordingly, this prospectus supplement, the accompanying prospectus, any related free writing prospectus and such other documents and/or materials are being distributed only to, and are directed only at, and offer</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84"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spacing w:after="0" w:line="252" w:lineRule="auto"/>
        <w:rPr>
          <w:sz w:val="20"/>
          <w:szCs w:val="20"/>
          <w:color w:val="auto"/>
        </w:rPr>
      </w:pPr>
      <w:r>
        <w:rPr>
          <w:rFonts w:ascii="Times New Roman" w:cs="Times New Roman" w:eastAsia="Times New Roman" w:hAnsi="Times New Roman"/>
          <w:sz w:val="14"/>
          <w:szCs w:val="14"/>
          <w:color w:val="auto"/>
        </w:rPr>
        <w:t>subsequently made may only be directed at non-retail investors (being persons who are not retail investors as defined in the paragraph above)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companies, unincorporated associations and partnerships and trustees of high value trusts described in Article 49(2)(a) to (c) of the Order; or (iii) persons to whom an invitation or inducement to engage in investment activity (within the meaning of Section 21 of the FSMA) in connection with the issue or sale of any securities may otherwise lawfully be communicated (all such persons together being referred to as “relevant persons”). In the UK, any investment or investment activity to which this prospectus supplement, the accompanying prospectus, any related free writing prospectus and any such other document or materials relate is available only to, and will be engaged in only with, relevant persons. This prospectus supplement, the accompanying prospectus and their contents are confidential and should not be distributed, published or reproduced (in whole or in part) or disclosed by any recipients to any other person in the UK. Any person in the UK who is not a relevant person should not act or rely on this prospectus supplement, the accompanying prospectus, any related free writing prospectus or any other documents and/or materials relating to the issue of the notes offered hereby or any of their contents.</w:t>
      </w:r>
    </w:p>
    <w:p>
      <w:pPr>
        <w:spacing w:after="0" w:line="148" w:lineRule="exact"/>
        <w:rPr>
          <w:sz w:val="20"/>
          <w:szCs w:val="20"/>
          <w:color w:val="auto"/>
        </w:rPr>
      </w:pPr>
    </w:p>
    <w:p>
      <w:pPr>
        <w:ind w:left="1380" w:right="679" w:firstLine="341"/>
        <w:spacing w:after="0" w:line="281" w:lineRule="auto"/>
        <w:rPr>
          <w:sz w:val="20"/>
          <w:szCs w:val="20"/>
          <w:color w:val="auto"/>
        </w:rPr>
      </w:pPr>
      <w:r>
        <w:rPr>
          <w:rFonts w:ascii="Times New Roman" w:cs="Times New Roman" w:eastAsia="Times New Roman" w:hAnsi="Times New Roman"/>
          <w:sz w:val="14"/>
          <w:szCs w:val="14"/>
          <w:color w:val="auto"/>
        </w:rPr>
        <w:t>All applicable provisions of the FSMA must be complied with in respect to anything done by any person in relation to the notes in, from or otherwise involving the United Kingdom.</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France</w:t>
      </w:r>
    </w:p>
    <w:p>
      <w:pPr>
        <w:spacing w:after="0" w:line="92"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 xml:space="preserve">Neither this prospectus supplement nor any other offering material relating to the notes described in this prospectus supplement has been submitted to the clearance procedures of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xml:space="preserve"> or of the competent authority of another member state of the European Economic Area and notified to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66" w:lineRule="exact"/>
        <w:rPr>
          <w:sz w:val="20"/>
          <w:szCs w:val="20"/>
          <w:color w:val="auto"/>
        </w:rPr>
      </w:pPr>
    </w:p>
    <w:p>
      <w:pPr>
        <w:ind w:left="2120" w:hanging="327"/>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released, issued, distributed or caused to be released, issued or distributed to the public in France; or</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used in connection with any offer for subscription or sale of the notes to the public in France.</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Such offers, sales and distributions will be made in France only:</w:t>
      </w:r>
    </w:p>
    <w:p>
      <w:pPr>
        <w:spacing w:after="0" w:line="99" w:lineRule="exact"/>
        <w:rPr>
          <w:sz w:val="20"/>
          <w:szCs w:val="20"/>
          <w:color w:val="auto"/>
        </w:rPr>
      </w:pPr>
    </w:p>
    <w:p>
      <w:pPr>
        <w:ind w:left="2120" w:right="379" w:hanging="327"/>
        <w:spacing w:after="0" w:line="266"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qualified investors (</w:t>
      </w:r>
      <w:r>
        <w:rPr>
          <w:rFonts w:ascii="Times New Roman" w:cs="Times New Roman" w:eastAsia="Times New Roman" w:hAnsi="Times New Roman"/>
          <w:sz w:val="14"/>
          <w:szCs w:val="14"/>
          <w:i w:val="1"/>
          <w:iCs w:val="1"/>
          <w:color w:val="auto"/>
        </w:rPr>
        <w:t>investisseurs qualifiés</w:t>
      </w:r>
      <w:r>
        <w:rPr>
          <w:rFonts w:ascii="Times New Roman" w:cs="Times New Roman" w:eastAsia="Times New Roman" w:hAnsi="Times New Roman"/>
          <w:sz w:val="14"/>
          <w:szCs w:val="14"/>
          <w:color w:val="auto"/>
        </w:rPr>
        <w:t>) and/or to a restricted circle of investors (</w:t>
      </w:r>
      <w:r>
        <w:rPr>
          <w:rFonts w:ascii="Times New Roman" w:cs="Times New Roman" w:eastAsia="Times New Roman" w:hAnsi="Times New Roman"/>
          <w:sz w:val="14"/>
          <w:szCs w:val="14"/>
          <w:i w:val="1"/>
          <w:iCs w:val="1"/>
          <w:color w:val="auto"/>
        </w:rPr>
        <w:t>cercle restreint d’investisseurs</w:t>
      </w:r>
      <w:r>
        <w:rPr>
          <w:rFonts w:ascii="Times New Roman" w:cs="Times New Roman" w:eastAsia="Times New Roman" w:hAnsi="Times New Roman"/>
          <w:sz w:val="14"/>
          <w:szCs w:val="14"/>
          <w:color w:val="auto"/>
        </w:rPr>
        <w:t>), in each case investing for their own account, all as defined in, and in accordance with, articles L.411-2, D.411-1, D.411-2, D.734-1, D.744-1, D.754-1 and D.764-1 of the French Code monétaire et financier;</w:t>
      </w:r>
    </w:p>
    <w:p>
      <w:pPr>
        <w:spacing w:after="0" w:line="63"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investment services providers authorized to engage in portfolio management on behalf of third parties; or</w:t>
      </w:r>
    </w:p>
    <w:p>
      <w:pPr>
        <w:spacing w:after="0" w:line="98" w:lineRule="exact"/>
        <w:rPr>
          <w:rFonts w:ascii="Times New Roman" w:cs="Times New Roman" w:eastAsia="Times New Roman" w:hAnsi="Times New Roman"/>
          <w:sz w:val="14"/>
          <w:szCs w:val="14"/>
          <w:color w:val="auto"/>
        </w:rPr>
      </w:pPr>
    </w:p>
    <w:p>
      <w:pPr>
        <w:ind w:left="2120" w:right="419" w:hanging="327"/>
        <w:spacing w:after="0" w:line="266"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 transaction that, in accordance with article L.411-2-II-1° -or-2° -or 3° of the French Code </w:t>
      </w:r>
      <w:r>
        <w:rPr>
          <w:rFonts w:ascii="Times New Roman" w:cs="Times New Roman" w:eastAsia="Times New Roman" w:hAnsi="Times New Roman"/>
          <w:sz w:val="14"/>
          <w:szCs w:val="14"/>
          <w:i w:val="1"/>
          <w:iCs w:val="1"/>
          <w:color w:val="auto"/>
        </w:rPr>
        <w:t>monétaire et financier</w:t>
      </w:r>
      <w:r>
        <w:rPr>
          <w:rFonts w:ascii="Times New Roman" w:cs="Times New Roman" w:eastAsia="Times New Roman" w:hAnsi="Times New Roman"/>
          <w:sz w:val="14"/>
          <w:szCs w:val="14"/>
          <w:color w:val="auto"/>
        </w:rPr>
        <w:t xml:space="preserve"> and article 211-2 of the General Regulations (Règlement Général) of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does not constitute a public offer (</w:t>
      </w:r>
      <w:r>
        <w:rPr>
          <w:rFonts w:ascii="Times New Roman" w:cs="Times New Roman" w:eastAsia="Times New Roman" w:hAnsi="Times New Roman"/>
          <w:sz w:val="14"/>
          <w:szCs w:val="14"/>
          <w:i w:val="1"/>
          <w:iCs w:val="1"/>
          <w:color w:val="auto"/>
        </w:rPr>
        <w:t>appel public à</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l’épargne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80" w:right="419" w:firstLine="341"/>
        <w:spacing w:after="0" w:line="281" w:lineRule="auto"/>
        <w:rPr>
          <w:sz w:val="20"/>
          <w:szCs w:val="20"/>
          <w:color w:val="auto"/>
        </w:rPr>
      </w:pPr>
      <w:r>
        <w:rPr>
          <w:rFonts w:ascii="Times New Roman" w:cs="Times New Roman" w:eastAsia="Times New Roman" w:hAnsi="Times New Roman"/>
          <w:sz w:val="14"/>
          <w:szCs w:val="14"/>
          <w:color w:val="auto"/>
        </w:rPr>
        <w:t xml:space="preserve">The notes may be resold directly or indirectly, only in compliance with articles L.411-1, L.411-2, L.412-1 and L.621-8 through L.621-8-3 of the French Code </w:t>
      </w:r>
      <w:r>
        <w:rPr>
          <w:rFonts w:ascii="Times New Roman" w:cs="Times New Roman" w:eastAsia="Times New Roman" w:hAnsi="Times New Roman"/>
          <w:sz w:val="14"/>
          <w:szCs w:val="14"/>
          <w:i w:val="1"/>
          <w:iCs w:val="1"/>
          <w:color w:val="auto"/>
        </w:rPr>
        <w:t>monétaire et financier</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92" w:lineRule="exact"/>
        <w:rPr>
          <w:sz w:val="20"/>
          <w:szCs w:val="20"/>
          <w:color w:val="auto"/>
        </w:rPr>
      </w:pPr>
    </w:p>
    <w:p>
      <w:pPr>
        <w:jc w:val="both"/>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10159"/>
          </w:cols>
          <w:pgMar w:left="300" w:top="384"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99"/>
        <w:spacing w:after="0" w:line="257" w:lineRule="auto"/>
        <w:rPr>
          <w:sz w:val="20"/>
          <w:szCs w:val="20"/>
          <w:color w:val="auto"/>
        </w:rPr>
      </w:pPr>
      <w:r>
        <w:rPr>
          <w:rFonts w:ascii="Times New Roman" w:cs="Times New Roman" w:eastAsia="Times New Roman" w:hAnsi="Times New Roman"/>
          <w:sz w:val="14"/>
          <w:szCs w:val="14"/>
          <w:color w:val="auto"/>
        </w:rPr>
        <w:t>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92" w:lineRule="exact"/>
        <w:rPr>
          <w:sz w:val="20"/>
          <w:szCs w:val="20"/>
          <w:color w:val="auto"/>
        </w:rPr>
      </w:pPr>
    </w:p>
    <w:p>
      <w:pPr>
        <w:ind w:left="1380" w:right="279" w:firstLine="341"/>
        <w:spacing w:after="0" w:line="272" w:lineRule="auto"/>
        <w:rPr>
          <w:sz w:val="20"/>
          <w:szCs w:val="20"/>
          <w:color w:val="auto"/>
        </w:rPr>
      </w:pPr>
      <w:r>
        <w:rPr>
          <w:rFonts w:ascii="Times New Roman" w:cs="Times New Roman" w:eastAsia="Times New Roman" w:hAnsi="Times New Roman"/>
          <w:sz w:val="13"/>
          <w:szCs w:val="13"/>
          <w:color w:val="auto"/>
        </w:rPr>
        <w:t>This prospectus supplement has not been registered as a prospectus under the Securities and Futures Act 2001 (“SFA”) by the Monetary Authority of Singapore, and the offer of the notes in Singapore is made primarily pursuant to the exemptions under Sections 274 and 275 of the SFA.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or any person pursuant to</w:t>
      </w:r>
    </w:p>
    <w:p>
      <w:pPr>
        <w:spacing w:after="0" w:line="1" w:lineRule="exact"/>
        <w:rPr>
          <w:sz w:val="20"/>
          <w:szCs w:val="20"/>
          <w:color w:val="auto"/>
        </w:rPr>
      </w:pPr>
    </w:p>
    <w:p>
      <w:pPr>
        <w:jc w:val="both"/>
        <w:ind w:left="1380" w:right="319"/>
        <w:spacing w:after="0" w:line="254" w:lineRule="auto"/>
        <w:rPr>
          <w:sz w:val="20"/>
          <w:szCs w:val="20"/>
          <w:color w:val="auto"/>
        </w:rPr>
      </w:pPr>
      <w:r>
        <w:rPr>
          <w:rFonts w:ascii="Times New Roman" w:cs="Times New Roman" w:eastAsia="Times New Roman" w:hAnsi="Times New Roman"/>
          <w:sz w:val="14"/>
          <w:szCs w:val="14"/>
          <w:color w:val="auto"/>
        </w:rPr>
        <w:t>Section 275(1A),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Where the notes are subscribed or purchased under Section 275 of the SFA by a relevant person which is:</w:t>
      </w:r>
    </w:p>
    <w:p>
      <w:pPr>
        <w:spacing w:after="0" w:line="101" w:lineRule="exact"/>
        <w:rPr>
          <w:sz w:val="20"/>
          <w:szCs w:val="20"/>
          <w:color w:val="auto"/>
        </w:rPr>
      </w:pPr>
    </w:p>
    <w:p>
      <w:pPr>
        <w:ind w:left="2120" w:right="339" w:hanging="327"/>
        <w:spacing w:after="0" w:line="281"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2" w:lineRule="exact"/>
        <w:rPr>
          <w:rFonts w:ascii="Times New Roman" w:cs="Times New Roman" w:eastAsia="Times New Roman" w:hAnsi="Times New Roman"/>
          <w:sz w:val="14"/>
          <w:szCs w:val="14"/>
          <w:color w:val="auto"/>
        </w:rPr>
      </w:pPr>
    </w:p>
    <w:p>
      <w:pPr>
        <w:ind w:left="2120" w:right="499" w:hanging="327"/>
        <w:spacing w:after="0" w:line="281"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w:t>
      </w:r>
    </w:p>
    <w:p>
      <w:pPr>
        <w:spacing w:after="0" w:line="125" w:lineRule="exact"/>
        <w:rPr>
          <w:sz w:val="20"/>
          <w:szCs w:val="20"/>
          <w:color w:val="auto"/>
        </w:rPr>
      </w:pPr>
    </w:p>
    <w:p>
      <w:pPr>
        <w:ind w:left="1380" w:right="439" w:firstLine="341"/>
        <w:spacing w:after="0" w:line="281" w:lineRule="auto"/>
        <w:rPr>
          <w:sz w:val="20"/>
          <w:szCs w:val="20"/>
          <w:color w:val="auto"/>
        </w:rPr>
      </w:pPr>
      <w:r>
        <w:rPr>
          <w:rFonts w:ascii="Times New Roman" w:cs="Times New Roman" w:eastAsia="Times New Roman" w:hAnsi="Times New Roman"/>
          <w:sz w:val="14"/>
          <w:szCs w:val="14"/>
          <w:color w:val="auto"/>
        </w:rPr>
        <w:t>shares, debentures and units of shares and debentures of that corporation and the beneficiaries’ rights and interest (howsoever described) in that trust shall not be transferred within six months after that corporation or that trust has subscribed for or acquired the notes except:</w:t>
      </w:r>
    </w:p>
    <w:p>
      <w:pPr>
        <w:spacing w:after="0" w:line="52" w:lineRule="exact"/>
        <w:rPr>
          <w:sz w:val="20"/>
          <w:szCs w:val="20"/>
          <w:color w:val="auto"/>
        </w:rPr>
      </w:pPr>
    </w:p>
    <w:p>
      <w:pPr>
        <w:ind w:left="2120" w:right="379" w:hanging="327"/>
        <w:spacing w:after="0" w:line="281"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an Accredited Investor, a Relevant Person, or which arises from an offer referred to in Section 275(1A) of the SFA (in the case of that corporation) or Section 276(4)(c)(ii) of the SFA (in the case of that trust);</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 or</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w:t>
      </w:r>
    </w:p>
    <w:p>
      <w:pPr>
        <w:spacing w:after="0" w:line="1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10159"/>
          </w:cols>
          <w:pgMar w:left="300" w:top="384"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Singapore SFA Product Classification—Solely for the purposes of its obligations pursuant to Sections 309B(1)(a) and 309B(1)(c) of the SFA, we have determined, and hereby notify all persons (including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92"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color w:val="auto"/>
        </w:rPr>
        <w:t>This prospectus supplement is not intended to constitute an offer or solicitation to purchase or invest in the notes in Switzerland.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10159"/>
          </w:cols>
          <w:pgMar w:left="300" w:top="38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ind w:left="1380" w:right="379" w:firstLine="341"/>
        <w:spacing w:after="0" w:line="260" w:lineRule="auto"/>
        <w:rPr>
          <w:sz w:val="20"/>
          <w:szCs w:val="20"/>
          <w:color w:val="auto"/>
        </w:rPr>
      </w:pPr>
      <w:r>
        <w:rPr>
          <w:rFonts w:ascii="Times New Roman" w:cs="Times New Roman" w:eastAsia="Times New Roman" w:hAnsi="Times New Roman"/>
          <w:sz w:val="14"/>
          <w:szCs w:val="14"/>
          <w:color w:val="auto"/>
        </w:rPr>
        <w:t>Gibson, Dunn &amp; Crutcher LLP, New York, New York, will provide opinions regarding the authorization and validity of the notes for us as to matters governed by the laws of the State of New York. Barnes &amp; Thornburg LLP will provide opinions regarding the authorization and validity of the notes for us as to all matters governed by the laws of the State of Indiana. Certain legal matters will be passed upon for the underwriters by Davis Polk &amp; Wardwell LLP, New York, New York.</w:t>
      </w: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6" w:lineRule="exact"/>
        <w:rPr>
          <w:sz w:val="20"/>
          <w:szCs w:val="20"/>
          <w:color w:val="auto"/>
        </w:rPr>
      </w:pPr>
    </w:p>
    <w:p>
      <w:pPr>
        <w:ind w:left="1380" w:right="479" w:firstLine="341"/>
        <w:spacing w:after="0" w:line="260" w:lineRule="auto"/>
        <w:rPr>
          <w:sz w:val="20"/>
          <w:szCs w:val="20"/>
          <w:color w:val="auto"/>
        </w:rPr>
      </w:pPr>
      <w:r>
        <w:rPr>
          <w:rFonts w:ascii="Times New Roman" w:cs="Times New Roman" w:eastAsia="Times New Roman" w:hAnsi="Times New Roman"/>
          <w:sz w:val="14"/>
          <w:szCs w:val="14"/>
          <w:color w:val="auto"/>
        </w:rPr>
        <w:t>The financial statements of the Company as of December 31, 2025 and 2024, and for each of the three years in the period ended December 31, 2025, incorporated by reference in this prospectus supplement, and the effectiveness of the Company’s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10159"/>
          </w:cols>
          <w:pgMar w:left="300" w:top="38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134620</wp:posOffset>
            </wp:positionV>
            <wp:extent cx="1156335" cy="458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15633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DEPOSITARY SHARES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PURCHASE CONTRACTS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176530</wp:posOffset>
            </wp:positionV>
            <wp:extent cx="11430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and any applicable prospectus supplement that we file with the Securities and Exchange Commission before you invest.</w:t>
      </w:r>
    </w:p>
    <w:p>
      <w:pPr>
        <w:spacing w:after="0" w:line="143" w:lineRule="exact"/>
        <w:rPr>
          <w:sz w:val="20"/>
          <w:szCs w:val="20"/>
          <w:color w:val="auto"/>
        </w:rPr>
      </w:pPr>
    </w:p>
    <w:p>
      <w:pPr>
        <w:jc w:val="both"/>
        <w:ind w:left="1380" w:right="479" w:firstLine="341"/>
        <w:spacing w:after="0" w:line="265" w:lineRule="auto"/>
        <w:rPr>
          <w:sz w:val="20"/>
          <w:szCs w:val="20"/>
          <w:color w:val="auto"/>
        </w:rPr>
      </w:pPr>
      <w:r>
        <w:rPr>
          <w:rFonts w:ascii="Times New Roman" w:cs="Times New Roman" w:eastAsia="Times New Roman" w:hAnsi="Times New Roman"/>
          <w:sz w:val="14"/>
          <w:szCs w:val="14"/>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common stock of Xylem Inc. trades on The New York Stock Exchange under the symbol “XYL.”</w:t>
      </w:r>
    </w:p>
    <w:p>
      <w:pPr>
        <w:spacing w:after="0" w:line="172" w:lineRule="exact"/>
        <w:rPr>
          <w:sz w:val="20"/>
          <w:szCs w:val="20"/>
          <w:color w:val="auto"/>
        </w:rPr>
      </w:pPr>
    </w:p>
    <w:p>
      <w:pPr>
        <w:ind w:left="1380" w:right="939" w:firstLine="341"/>
        <w:spacing w:after="0" w:line="284" w:lineRule="auto"/>
        <w:rPr>
          <w:sz w:val="20"/>
          <w:szCs w:val="20"/>
          <w:color w:val="auto"/>
        </w:rPr>
      </w:pPr>
      <w:r>
        <w:rPr>
          <w:rFonts w:ascii="Times New Roman" w:cs="Times New Roman" w:eastAsia="Times New Roman" w:hAnsi="Times New Roman"/>
          <w:sz w:val="14"/>
          <w:szCs w:val="14"/>
          <w:b w:val="1"/>
          <w:bCs w:val="1"/>
          <w:color w:val="auto"/>
        </w:rPr>
        <w:t>Investing in our securities involves certain risks. See the “Risk Factors” section of our filings with the Securities and Exchange Commission and the applicable prospectus supplement. Also see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107315</wp:posOffset>
            </wp:positionV>
            <wp:extent cx="542226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5422265" cy="6350"/>
                    </a:xfrm>
                    <a:prstGeom prst="rect">
                      <a:avLst/>
                    </a:prstGeom>
                    <a:noFill/>
                  </pic:spPr>
                </pic:pic>
              </a:graphicData>
            </a:graphic>
          </wp:anchor>
        </w:drawing>
      </w:r>
    </w:p>
    <w:p>
      <w:pPr>
        <w:spacing w:after="0" w:line="311" w:lineRule="exact"/>
        <w:rPr>
          <w:sz w:val="20"/>
          <w:szCs w:val="20"/>
          <w:color w:val="auto"/>
        </w:rPr>
      </w:pPr>
    </w:p>
    <w:p>
      <w:pPr>
        <w:ind w:left="1380" w:right="359" w:firstLine="341"/>
        <w:spacing w:after="0" w:line="28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114300</wp:posOffset>
            </wp:positionV>
            <wp:extent cx="542226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422265" cy="6350"/>
                    </a:xfrm>
                    <a:prstGeom prst="rect">
                      <a:avLst/>
                    </a:prstGeom>
                    <a:noFill/>
                  </pic:spPr>
                </pic:pic>
              </a:graphicData>
            </a:graphic>
          </wp:anchor>
        </w:drawing>
      </w:r>
    </w:p>
    <w:p>
      <w:pPr>
        <w:spacing w:after="0" w:line="3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3, 2023</w:t>
      </w:r>
    </w:p>
    <w:p>
      <w:pPr>
        <w:sectPr>
          <w:pgSz w:w="11900" w:h="16838" w:orient="portrait"/>
          <w:cols w:equalWidth="0" w:num="1">
            <w:col w:w="10159"/>
          </w:cols>
          <w:pgMar w:left="300" w:top="384"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2" w:lineRule="exact"/>
        <w:rPr>
          <w:sz w:val="20"/>
          <w:szCs w:val="20"/>
          <w:color w:val="auto"/>
        </w:rPr>
      </w:pPr>
    </w:p>
    <w:tbl>
      <w:tblPr>
        <w:tblLayout w:type="fixed"/>
        <w:tblInd w:w="1380" w:type="dxa"/>
        <w:tblCellMar>
          <w:top w:w="0" w:type="dxa"/>
          <w:left w:w="0" w:type="dxa"/>
          <w:bottom w:w="0" w:type="dxa"/>
          <w:right w:w="0" w:type="dxa"/>
        </w:tblCellMar>
      </w:tblPr>
      <w:tr>
        <w:trPr>
          <w:trHeight w:val="134"/>
        </w:trPr>
        <w:tc>
          <w:tcPr>
            <w:tcW w:w="18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0000EE"/>
                <w:w w:val="98"/>
              </w:rPr>
              <w:t>ABOUT THIS PROSPECTUS</w:t>
            </w:r>
          </w:p>
        </w:tc>
        <w:tc>
          <w:tcPr>
            <w:tcW w:w="6440" w:type="dxa"/>
            <w:vAlign w:val="bottom"/>
            <w:gridSpan w:val="7"/>
            <w:vMerge w:val="restart"/>
          </w:tcPr>
          <w:p>
            <w:pPr>
              <w:spacing w:after="0"/>
              <w:rPr>
                <w:sz w:val="11"/>
                <w:szCs w:val="11"/>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1"/>
        </w:trPr>
        <w:tc>
          <w:tcPr>
            <w:tcW w:w="1820" w:type="dxa"/>
            <w:vAlign w:val="bottom"/>
            <w:tcBorders>
              <w:bottom w:val="single" w:sz="8" w:color="0000EE"/>
            </w:tcBorders>
            <w:gridSpan w:val="7"/>
            <w:vMerge w:val="continue"/>
          </w:tcPr>
          <w:p>
            <w:pPr>
              <w:spacing w:after="0"/>
              <w:rPr>
                <w:sz w:val="10"/>
                <w:szCs w:val="10"/>
                <w:color w:val="auto"/>
              </w:rPr>
            </w:pPr>
          </w:p>
        </w:tc>
        <w:tc>
          <w:tcPr>
            <w:tcW w:w="6440" w:type="dxa"/>
            <w:vAlign w:val="bottom"/>
            <w:gridSpan w:val="7"/>
            <w:vMerge w:val="continue"/>
          </w:tcPr>
          <w:p>
            <w:pPr>
              <w:spacing w:after="0"/>
              <w:rPr>
                <w:sz w:val="10"/>
                <w:szCs w:val="10"/>
                <w:color w:val="auto"/>
              </w:rPr>
            </w:pPr>
          </w:p>
        </w:tc>
        <w:tc>
          <w:tcPr>
            <w:tcW w:w="2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20" w:type="dxa"/>
            <w:vAlign w:val="bottom"/>
            <w:tcBorders>
              <w:bottom w:val="single" w:sz="8" w:color="0000EE"/>
            </w:tcBorders>
            <w:gridSpan w:val="12"/>
          </w:tcPr>
          <w:p>
            <w:pPr>
              <w:spacing w:after="0" w:line="158" w:lineRule="exact"/>
              <w:rPr>
                <w:sz w:val="20"/>
                <w:szCs w:val="20"/>
                <w:color w:val="auto"/>
              </w:rPr>
            </w:pPr>
            <w:r>
              <w:rPr>
                <w:rFonts w:ascii="Times New Roman" w:cs="Times New Roman" w:eastAsia="Times New Roman" w:hAnsi="Times New Roman"/>
                <w:sz w:val="14"/>
                <w:szCs w:val="14"/>
                <w:b w:val="1"/>
                <w:bCs w:val="1"/>
                <w:color w:val="0000EE"/>
                <w:w w:val="98"/>
              </w:rPr>
              <w:t>WHERE YOU CAN FIND MORE INFORMATION</w:t>
            </w:r>
          </w:p>
        </w:tc>
        <w:tc>
          <w:tcPr>
            <w:tcW w:w="5140" w:type="dxa"/>
            <w:vAlign w:val="bottom"/>
            <w:gridSpan w:val="2"/>
          </w:tcPr>
          <w:p>
            <w:pPr>
              <w:spacing w:after="0"/>
              <w:rPr>
                <w:sz w:val="13"/>
                <w:szCs w:val="13"/>
                <w:color w:val="auto"/>
              </w:rPr>
            </w:pPr>
          </w:p>
        </w:tc>
        <w:tc>
          <w:tcPr>
            <w:tcW w:w="26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47"/>
        </w:trPr>
        <w:tc>
          <w:tcPr>
            <w:tcW w:w="826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b w:val="1"/>
                <w:bCs w:val="1"/>
                <w:color w:val="0000EE"/>
              </w:rPr>
              <w:t>INCORPORATION BY REFERENCE</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line="20" w:lineRule="exact"/>
              <w:rPr>
                <w:sz w:val="1"/>
                <w:szCs w:val="1"/>
                <w:color w:val="auto"/>
              </w:rPr>
            </w:pPr>
          </w:p>
        </w:tc>
      </w:tr>
      <w:tr>
        <w:trPr>
          <w:trHeight w:val="147"/>
        </w:trPr>
        <w:tc>
          <w:tcPr>
            <w:tcW w:w="438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b w:val="1"/>
                <w:bCs w:val="1"/>
                <w:color w:val="0000EE"/>
                <w:w w:val="98"/>
              </w:rPr>
              <w:t>SPECIAL NOTE REGARDING FORWARD-LOOKING STATEMENTS</w:t>
            </w:r>
          </w:p>
        </w:tc>
        <w:tc>
          <w:tcPr>
            <w:tcW w:w="388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8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b w:val="1"/>
                <w:bCs w:val="1"/>
                <w:color w:val="0000EE"/>
                <w:w w:val="98"/>
              </w:rPr>
              <w:t>ABOUT THE REGISTRANT</w:t>
            </w:r>
          </w:p>
        </w:tc>
        <w:tc>
          <w:tcPr>
            <w:tcW w:w="6480" w:type="dxa"/>
            <w:vAlign w:val="bottom"/>
            <w:gridSpan w:val="8"/>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147"/>
        </w:trPr>
        <w:tc>
          <w:tcPr>
            <w:tcW w:w="826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b w:val="1"/>
                <w:bCs w:val="1"/>
                <w:color w:val="0000EE"/>
              </w:rPr>
              <w:t>RISK FACTORS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line="20" w:lineRule="exact"/>
              <w:rPr>
                <w:sz w:val="1"/>
                <w:szCs w:val="1"/>
                <w:color w:val="auto"/>
              </w:rPr>
            </w:pPr>
          </w:p>
        </w:tc>
      </w:tr>
      <w:tr>
        <w:trPr>
          <w:trHeight w:val="147"/>
        </w:trPr>
        <w:tc>
          <w:tcPr>
            <w:tcW w:w="826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b w:val="1"/>
                <w:bCs w:val="1"/>
                <w:color w:val="0000EE"/>
              </w:rPr>
              <w:t>USE OF PROCEEDS</w:t>
            </w:r>
          </w:p>
        </w:tc>
        <w:tc>
          <w:tcPr>
            <w:tcW w:w="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line="20" w:lineRule="exact"/>
              <w:rPr>
                <w:sz w:val="1"/>
                <w:szCs w:val="1"/>
                <w:color w:val="auto"/>
              </w:rPr>
            </w:pPr>
          </w:p>
        </w:tc>
      </w:tr>
      <w:tr>
        <w:trPr>
          <w:trHeight w:val="147"/>
        </w:trPr>
        <w:tc>
          <w:tcPr>
            <w:tcW w:w="826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b w:val="1"/>
                <w:bCs w:val="1"/>
                <w:color w:val="0000EE"/>
              </w:rPr>
              <w:t>DESCRIPTION OF DEBT SECURITIES</w:t>
            </w:r>
          </w:p>
        </w:tc>
        <w:tc>
          <w:tcPr>
            <w:tcW w:w="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8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b w:val="1"/>
                <w:bCs w:val="1"/>
                <w:color w:val="0000EE"/>
              </w:rPr>
              <w:t>DESCRIPTION OF COMMON STOCK</w:t>
            </w:r>
          </w:p>
        </w:tc>
        <w:tc>
          <w:tcPr>
            <w:tcW w:w="5780" w:type="dxa"/>
            <w:vAlign w:val="bottom"/>
            <w:gridSpan w:val="4"/>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27</w:t>
            </w:r>
          </w:p>
        </w:tc>
        <w:tc>
          <w:tcPr>
            <w:tcW w:w="0" w:type="dxa"/>
            <w:vAlign w:val="bottom"/>
          </w:tcPr>
          <w:p>
            <w:pPr>
              <w:spacing w:after="0" w:line="20" w:lineRule="exact"/>
              <w:rPr>
                <w:sz w:val="1"/>
                <w:szCs w:val="1"/>
                <w:color w:val="auto"/>
              </w:rPr>
            </w:pPr>
          </w:p>
        </w:tc>
      </w:tr>
      <w:tr>
        <w:trPr>
          <w:trHeight w:val="147"/>
        </w:trPr>
        <w:tc>
          <w:tcPr>
            <w:tcW w:w="262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b w:val="1"/>
                <w:bCs w:val="1"/>
                <w:color w:val="0000EE"/>
                <w:w w:val="99"/>
              </w:rPr>
              <w:t>DESCRIPTION OF OTHER SECURITIES</w:t>
            </w:r>
          </w:p>
        </w:tc>
        <w:tc>
          <w:tcPr>
            <w:tcW w:w="5640" w:type="dxa"/>
            <w:vAlign w:val="bottom"/>
            <w:gridSpan w:val="3"/>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6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b w:val="1"/>
                <w:bCs w:val="1"/>
                <w:color w:val="0000EE"/>
              </w:rPr>
              <w:t>PLAN OF DISTRIBUTION</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28</w:t>
            </w:r>
          </w:p>
        </w:tc>
        <w:tc>
          <w:tcPr>
            <w:tcW w:w="0" w:type="dxa"/>
            <w:vAlign w:val="bottom"/>
          </w:tcPr>
          <w:p>
            <w:pPr>
              <w:spacing w:after="0"/>
              <w:rPr>
                <w:sz w:val="1"/>
                <w:szCs w:val="1"/>
                <w:color w:val="auto"/>
              </w:rPr>
            </w:pPr>
          </w:p>
        </w:tc>
      </w:tr>
      <w:tr>
        <w:trPr>
          <w:trHeight w:val="147"/>
        </w:trPr>
        <w:tc>
          <w:tcPr>
            <w:tcW w:w="1200" w:type="dxa"/>
            <w:vAlign w:val="bottom"/>
            <w:tcBorders>
              <w:top w:val="single" w:sz="8" w:color="0000EE"/>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0000EE"/>
                <w:w w:val="96"/>
              </w:rPr>
              <w:t>LEGAL MATTERS</w:t>
            </w:r>
          </w:p>
        </w:tc>
        <w:tc>
          <w:tcPr>
            <w:tcW w:w="460" w:type="dxa"/>
            <w:vAlign w:val="bottom"/>
            <w:tcBorders>
              <w:top w:val="single" w:sz="8" w:color="0000EE"/>
            </w:tcBorders>
            <w:gridSpan w:val="2"/>
          </w:tcPr>
          <w:p>
            <w:pPr>
              <w:spacing w:after="0"/>
              <w:rPr>
                <w:sz w:val="12"/>
                <w:szCs w:val="12"/>
                <w:color w:val="auto"/>
              </w:rPr>
            </w:pPr>
          </w:p>
        </w:tc>
        <w:tc>
          <w:tcPr>
            <w:tcW w:w="6600" w:type="dxa"/>
            <w:vAlign w:val="bottom"/>
            <w:gridSpan w:val="9"/>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29</w:t>
            </w:r>
          </w:p>
        </w:tc>
        <w:tc>
          <w:tcPr>
            <w:tcW w:w="0" w:type="dxa"/>
            <w:vAlign w:val="bottom"/>
          </w:tcPr>
          <w:p>
            <w:pPr>
              <w:spacing w:after="0"/>
              <w:rPr>
                <w:sz w:val="1"/>
                <w:szCs w:val="1"/>
                <w:color w:val="auto"/>
              </w:rPr>
            </w:pPr>
          </w:p>
        </w:tc>
      </w:tr>
      <w:tr>
        <w:trPr>
          <w:trHeight w:val="147"/>
        </w:trPr>
        <w:tc>
          <w:tcPr>
            <w:tcW w:w="640" w:type="dxa"/>
            <w:vAlign w:val="bottom"/>
            <w:tcBorders>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b w:val="1"/>
                <w:bCs w:val="1"/>
                <w:color w:val="0000EE"/>
                <w:w w:val="95"/>
              </w:rPr>
              <w:t>EXPERTS</w:t>
            </w:r>
          </w:p>
        </w:tc>
        <w:tc>
          <w:tcPr>
            <w:tcW w:w="7620" w:type="dxa"/>
            <w:vAlign w:val="bottom"/>
            <w:gridSpan w:val="13"/>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29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4"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6" w:lineRule="exact"/>
        <w:rPr>
          <w:sz w:val="20"/>
          <w:szCs w:val="20"/>
          <w:color w:val="auto"/>
        </w:rPr>
      </w:pPr>
    </w:p>
    <w:p>
      <w:pPr>
        <w:ind w:left="1380" w:right="559" w:firstLine="341"/>
        <w:spacing w:after="0" w:line="26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(the “SEC”), utilizing a “shelf” registration process. By using a shelf registration statement, Xylem Inc. may sell, at any time and from time to time in one or more offerings, any combination of the securities described in this prospectus.</w:t>
      </w:r>
    </w:p>
    <w:p>
      <w:pPr>
        <w:spacing w:after="0" w:line="136" w:lineRule="exact"/>
        <w:rPr>
          <w:sz w:val="20"/>
          <w:szCs w:val="20"/>
          <w:color w:val="auto"/>
        </w:rPr>
      </w:pPr>
    </w:p>
    <w:p>
      <w:pPr>
        <w:ind w:left="1380" w:right="319" w:firstLine="341"/>
        <w:spacing w:after="0" w:line="281"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references in this prospectus to “Xylem,” “Company,” “we,” “us” and “our” refer to Xylem Inc. and its consolidated subsidiaries.</w:t>
      </w:r>
    </w:p>
    <w:p>
      <w:pPr>
        <w:spacing w:after="0" w:line="125" w:lineRule="exact"/>
        <w:rPr>
          <w:sz w:val="20"/>
          <w:szCs w:val="20"/>
          <w:color w:val="auto"/>
        </w:rPr>
      </w:pPr>
    </w:p>
    <w:p>
      <w:pPr>
        <w:jc w:val="both"/>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We have not authorized anyone to provide you with different information. We are not making an offer of these securities in any jurisdiction where the offer is not permitted. You should not assume that the information in this prospectus or a prospectus supplement is accurate as of any date other than the date on the front of the document.</w:t>
      </w:r>
    </w:p>
    <w:p>
      <w:pPr>
        <w:spacing w:after="0" w:line="136"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sell securities, we will provide a prospectus supplement containing specific information about the terms of that offering. That prospectus supplement may include a discussion of any risk factors or other special considerations applicable to those securities. The prospectus supplement also may add, update or change information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 “Where You Can Find More Information.”</w:t>
      </w:r>
    </w:p>
    <w:p>
      <w:pPr>
        <w:spacing w:after="0" w:line="146" w:lineRule="exact"/>
        <w:rPr>
          <w:sz w:val="20"/>
          <w:szCs w:val="20"/>
          <w:color w:val="auto"/>
        </w:rPr>
      </w:pPr>
    </w:p>
    <w:p>
      <w:pPr>
        <w:ind w:left="1380" w:right="299" w:firstLine="341"/>
        <w:spacing w:after="0" w:line="281" w:lineRule="auto"/>
        <w:rPr>
          <w:sz w:val="20"/>
          <w:szCs w:val="20"/>
          <w:color w:val="auto"/>
        </w:rPr>
      </w:pPr>
      <w:r>
        <w:rPr>
          <w:rFonts w:ascii="Times New Roman" w:cs="Times New Roman" w:eastAsia="Times New Roman" w:hAnsi="Times New Roman"/>
          <w:sz w:val="14"/>
          <w:szCs w:val="14"/>
          <w:color w:val="auto"/>
        </w:rPr>
        <w:t>The registration statement containing this prospectus, including the exhibits to the registration statement, provides additional information about us and the securities offered under this prospectus.</w:t>
      </w:r>
    </w:p>
    <w:p>
      <w:pPr>
        <w:spacing w:after="0" w:line="125" w:lineRule="exact"/>
        <w:rPr>
          <w:sz w:val="20"/>
          <w:szCs w:val="20"/>
          <w:color w:val="auto"/>
        </w:rPr>
      </w:pPr>
    </w:p>
    <w:p>
      <w:pPr>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The exhibits to the registration statement contain the full text of certain contracts and other important documents we have summarized in this prospectus. You should review the full text of these documents because these summaries may not contain all the information that you may find important in deciding whether to purchase the securities we offer. The registration statement, including the exhibits, can be read at the SEC’s website or at the SEC’s offices mentioned under the heading “Where You Can Find More Information.”</w:t>
      </w: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6" w:lineRule="exact"/>
        <w:rPr>
          <w:sz w:val="20"/>
          <w:szCs w:val="20"/>
          <w:color w:val="auto"/>
        </w:rPr>
      </w:pPr>
    </w:p>
    <w:p>
      <w:pPr>
        <w:ind w:left="1380" w:right="239" w:firstLine="341"/>
        <w:spacing w:after="0" w:line="279" w:lineRule="auto"/>
        <w:rPr>
          <w:sz w:val="20"/>
          <w:szCs w:val="20"/>
          <w:color w:val="auto"/>
        </w:rPr>
      </w:pPr>
      <w:r>
        <w:rPr>
          <w:rFonts w:ascii="Times New Roman" w:cs="Times New Roman" w:eastAsia="Times New Roman" w:hAnsi="Times New Roman"/>
          <w:sz w:val="13"/>
          <w:szCs w:val="13"/>
          <w:color w:val="auto"/>
        </w:rPr>
        <w:t xml:space="preserve">We file annual reports on Form 10-K, quarterly reports on Form 10-Q, current reports on Form 8-K, proxy and information statements and amendments to reports filed or furnished pursuant to Sections 13(a), 14 and 15(d) of the Securities Exchange Act of 1934, as amended (the “Exchange Act”). The SEC maintains a website at www.sec.gov that contains reports, proxy and information statements and other information regarding Xylem Inc. and other companies that file materials with the SEC electronically. Copies of our periodic and current reports and proxy statements may be obtained, free of charge, on the “Investors” section of our website at </w:t>
      </w:r>
      <w:r>
        <w:rPr>
          <w:rFonts w:ascii="Times New Roman" w:cs="Times New Roman" w:eastAsia="Times New Roman" w:hAnsi="Times New Roman"/>
          <w:sz w:val="13"/>
          <w:szCs w:val="13"/>
          <w:u w:val="single" w:color="auto"/>
          <w:color w:val="auto"/>
        </w:rPr>
        <w:t>http://www.xylem.com</w:t>
      </w:r>
      <w:r>
        <w:rPr>
          <w:rFonts w:ascii="Times New Roman" w:cs="Times New Roman" w:eastAsia="Times New Roman" w:hAnsi="Times New Roman"/>
          <w:sz w:val="13"/>
          <w:szCs w:val="13"/>
          <w:color w:val="auto"/>
        </w:rPr>
        <w:t>. This reference to our Internet address is for informational purposes only and shall not, under any circumstances, be deemed to incorporate the information available at or through such Internet address into this prospectus.</w:t>
      </w:r>
    </w:p>
    <w:p>
      <w:pPr>
        <w:sectPr>
          <w:pgSz w:w="11900" w:h="16838" w:orient="portrait"/>
          <w:cols w:equalWidth="0" w:num="1">
            <w:col w:w="10159"/>
          </w:cols>
          <w:pgMar w:left="300" w:top="38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6"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to those documents. We hereby incorporate by reference the documents listed below.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66" w:lineRule="exact"/>
        <w:rPr>
          <w:sz w:val="20"/>
          <w:szCs w:val="20"/>
          <w:color w:val="auto"/>
        </w:rPr>
      </w:pPr>
    </w:p>
    <w:p>
      <w:pPr>
        <w:ind w:left="1700" w:right="259" w:hanging="325"/>
        <w:spacing w:after="0" w:line="281"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6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2022 filed with the SEC on February 24, 2023 (including the portions of our Definitive Proxy Statement on </w:t>
      </w:r>
      <w:hyperlink r:id="rId67">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April 3, 2023, incorporated by reference therein);</w:t>
      </w:r>
    </w:p>
    <w:p>
      <w:pPr>
        <w:spacing w:after="0" w:line="52"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68">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quarterly period ended March 31, 2023 filed with the SEC on May 4, 2023;</w:t>
      </w:r>
    </w:p>
    <w:p>
      <w:pPr>
        <w:spacing w:after="0" w:line="100" w:lineRule="exact"/>
        <w:rPr>
          <w:rFonts w:ascii="Times New Roman" w:cs="Times New Roman" w:eastAsia="Times New Roman" w:hAnsi="Times New Roman"/>
          <w:sz w:val="14"/>
          <w:szCs w:val="14"/>
          <w:color w:val="auto"/>
        </w:rPr>
      </w:pPr>
    </w:p>
    <w:p>
      <w:pPr>
        <w:ind w:left="1700" w:right="519" w:hanging="325"/>
        <w:spacing w:after="0" w:line="281"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69">
        <w:r>
          <w:rPr>
            <w:rFonts w:ascii="Times New Roman" w:cs="Times New Roman" w:eastAsia="Times New Roman" w:hAnsi="Times New Roman"/>
            <w:sz w:val="14"/>
            <w:szCs w:val="14"/>
            <w:u w:val="single" w:color="auto"/>
            <w:color w:val="0000EE"/>
          </w:rPr>
          <w:t>January 23, 2023</w:t>
        </w:r>
      </w:hyperlink>
      <w:r>
        <w:rPr>
          <w:rFonts w:ascii="Times New Roman" w:cs="Times New Roman" w:eastAsia="Times New Roman" w:hAnsi="Times New Roman"/>
          <w:sz w:val="14"/>
          <w:szCs w:val="14"/>
          <w:color w:val="auto"/>
        </w:rPr>
        <w:t xml:space="preserve">, </w:t>
      </w:r>
      <w:hyperlink r:id="rId70">
        <w:r>
          <w:rPr>
            <w:rFonts w:ascii="Times New Roman" w:cs="Times New Roman" w:eastAsia="Times New Roman" w:hAnsi="Times New Roman"/>
            <w:sz w:val="14"/>
            <w:szCs w:val="14"/>
            <w:u w:val="single" w:color="auto"/>
            <w:color w:val="0000EE"/>
          </w:rPr>
          <w:t>March 2, 2023</w:t>
        </w:r>
      </w:hyperlink>
      <w:r>
        <w:rPr>
          <w:rFonts w:ascii="Times New Roman" w:cs="Times New Roman" w:eastAsia="Times New Roman" w:hAnsi="Times New Roman"/>
          <w:sz w:val="14"/>
          <w:szCs w:val="14"/>
          <w:color w:val="auto"/>
        </w:rPr>
        <w:t xml:space="preserve">, </w:t>
      </w:r>
      <w:hyperlink r:id="rId71">
        <w:r>
          <w:rPr>
            <w:rFonts w:ascii="Times New Roman" w:cs="Times New Roman" w:eastAsia="Times New Roman" w:hAnsi="Times New Roman"/>
            <w:sz w:val="14"/>
            <w:szCs w:val="14"/>
            <w:u w:val="single" w:color="auto"/>
            <w:color w:val="0000EE"/>
          </w:rPr>
          <w:t>May 11, 2023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72">
        <w:r>
          <w:rPr>
            <w:rFonts w:ascii="Times New Roman" w:cs="Times New Roman" w:eastAsia="Times New Roman" w:hAnsi="Times New Roman"/>
            <w:sz w:val="14"/>
            <w:szCs w:val="14"/>
            <w:u w:val="single" w:color="auto"/>
            <w:color w:val="0000EE"/>
          </w:rPr>
          <w:t>May 24, 2023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(other than Item 7.01) and our Current Report on Form 8-K/A filed with the SEC on </w:t>
      </w:r>
      <w:hyperlink r:id="rId73">
        <w:r>
          <w:rPr>
            <w:rFonts w:ascii="Times New Roman" w:cs="Times New Roman" w:eastAsia="Times New Roman" w:hAnsi="Times New Roman"/>
            <w:sz w:val="14"/>
            <w:szCs w:val="14"/>
            <w:u w:val="single" w:color="auto"/>
            <w:color w:val="0000EE"/>
          </w:rPr>
          <w:t>August 3, 2023</w:t>
        </w:r>
      </w:hyperlink>
      <w:r>
        <w:rPr>
          <w:rFonts w:ascii="Times New Roman" w:cs="Times New Roman" w:eastAsia="Times New Roman" w:hAnsi="Times New Roman"/>
          <w:sz w:val="14"/>
          <w:szCs w:val="14"/>
          <w:color w:val="auto"/>
        </w:rPr>
        <w:t>;</w:t>
      </w:r>
    </w:p>
    <w:p>
      <w:pPr>
        <w:spacing w:after="0" w:line="52" w:lineRule="exact"/>
        <w:rPr>
          <w:rFonts w:ascii="Times New Roman" w:cs="Times New Roman" w:eastAsia="Times New Roman" w:hAnsi="Times New Roman"/>
          <w:sz w:val="14"/>
          <w:szCs w:val="14"/>
          <w:color w:val="auto"/>
        </w:rPr>
      </w:pPr>
    </w:p>
    <w:p>
      <w:pPr>
        <w:ind w:left="1700" w:right="439" w:hanging="325"/>
        <w:spacing w:after="0" w:line="281"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par value $0.01 per share, contained in </w:t>
      </w:r>
      <w:hyperlink r:id="rId74">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2022, including any amendment or report filed for the purposes of updating such description; and</w:t>
      </w:r>
    </w:p>
    <w:p>
      <w:pPr>
        <w:spacing w:after="0" w:line="52" w:lineRule="exact"/>
        <w:rPr>
          <w:rFonts w:ascii="Times New Roman" w:cs="Times New Roman" w:eastAsia="Times New Roman" w:hAnsi="Times New Roman"/>
          <w:sz w:val="14"/>
          <w:szCs w:val="14"/>
          <w:color w:val="auto"/>
        </w:rPr>
      </w:pPr>
    </w:p>
    <w:p>
      <w:pPr>
        <w:ind w:left="1700" w:right="239" w:hanging="325"/>
        <w:spacing w:after="0" w:line="257"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future filings we make with the SEC under Sections 13(a), 13(c), 14 or 15(d) of the Exchange Act after the date of this prospectus and before the termination of the offering of the securities made under this prospectus;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we are not incorporating by reference any documents or information, including parts of documents that we file with the SEC, that are deemed to be furnished and not filed with the SEC. Unless specifically stated to the contrary, none of the information we disclose under Items 2.02 or 7.01 of any Current Report on Form 8-K that we may from time to time furnish to the SEC will be incorporated by reference into, or otherwise included in, this prospectus.</w:t>
      </w:r>
    </w:p>
    <w:p>
      <w:pPr>
        <w:spacing w:after="0" w:line="143" w:lineRule="exact"/>
        <w:rPr>
          <w:rFonts w:ascii="Times New Roman" w:cs="Times New Roman" w:eastAsia="Times New Roman" w:hAnsi="Times New Roman"/>
          <w:sz w:val="14"/>
          <w:szCs w:val="14"/>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We will provide, without charge, to each person to whom a copy of this prospectus has been delivered, including any beneficial owner, a copy of any and all of the documents referred to herein that are summarized in and incorporated by reference into this prospectus, if such person makes a written or oral request directed to:</w:t>
      </w:r>
    </w:p>
    <w:p>
      <w:pPr>
        <w:spacing w:after="0" w:line="13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Xylem Inc.</w:t>
      </w:r>
    </w:p>
    <w:p>
      <w:pPr>
        <w:spacing w:after="0" w:line="2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301 Water Street SE</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Washington, DC 20003</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(202) 869-9150</w:t>
      </w:r>
    </w:p>
    <w:p>
      <w:pPr>
        <w:spacing w:after="0" w:line="159" w:lineRule="exact"/>
        <w:rPr>
          <w:rFonts w:ascii="Times New Roman" w:cs="Times New Roman" w:eastAsia="Times New Roman" w:hAnsi="Times New Roman"/>
          <w:sz w:val="14"/>
          <w:szCs w:val="14"/>
          <w:color w:val="auto"/>
        </w:rPr>
      </w:pPr>
    </w:p>
    <w:p>
      <w:pPr>
        <w:ind w:left="1380" w:right="379" w:firstLine="341"/>
        <w:spacing w:after="0" w:line="254" w:lineRule="auto"/>
        <w:rPr>
          <w:sz w:val="20"/>
          <w:szCs w:val="20"/>
          <w:color w:val="auto"/>
        </w:rPr>
      </w:pPr>
      <w:r>
        <w:rPr>
          <w:rFonts w:ascii="Times New Roman" w:cs="Times New Roman" w:eastAsia="Times New Roman" w:hAnsi="Times New Roman"/>
          <w:sz w:val="14"/>
          <w:szCs w:val="14"/>
          <w:color w:val="auto"/>
        </w:rPr>
        <w:t>WE HAVE NOT AUTHORIZED ANYONE TO PROVIDE YOU WITH ANY ADDITIONAL INFORMATION OR ANY INFORMATION THAT IS DIFFERENT FROM THAT CONTAINED IN OR INCORPORATED BY REFERENCE INTO THIS PROSPECTUS, ANY ACCOMPANYING PROSPECTUS SUPPLEMENT OR ANY FREE WRITING PROSPECTUS PROVIDED IN CONNECTION WITH AN OFFERING. WE TAKE NO RESPONSIBILITY FOR, AND CAN PROVIDE NO ASSURANCE AS TO THE RELIABILITY OF, ANY OTHER INFORMATION THAT OTHERS MAY GIVE YOU. YOU SHOULD NOT ASSUME THAT THE INFORMATION CONTAINED IN THIS PROSPECTUS IS ACCURATE AS OF ANY DATE OTHER THAN THAT DATE, UNLESS WE OTHERWISE NOTE IN THIS PROSPECTUS OR ANY ACCOMPANYING PROSPECTUS SUPPLEMENT.</w:t>
      </w:r>
    </w:p>
    <w:p>
      <w:pPr>
        <w:spacing w:after="0" w:line="94"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6" w:lineRule="exact"/>
        <w:rPr>
          <w:sz w:val="20"/>
          <w:szCs w:val="20"/>
          <w:color w:val="auto"/>
        </w:rPr>
      </w:pPr>
    </w:p>
    <w:p>
      <w:pPr>
        <w:ind w:left="1380" w:right="339" w:firstLine="341"/>
        <w:spacing w:after="0" w:line="254" w:lineRule="auto"/>
        <w:rPr>
          <w:sz w:val="20"/>
          <w:szCs w:val="20"/>
          <w:color w:val="auto"/>
        </w:rPr>
      </w:pPr>
      <w:r>
        <w:rPr>
          <w:rFonts w:ascii="Times New Roman" w:cs="Times New Roman" w:eastAsia="Times New Roman" w:hAnsi="Times New Roman"/>
          <w:sz w:val="14"/>
          <w:szCs w:val="14"/>
          <w:color w:val="auto"/>
        </w:rPr>
        <w:t>This prospectus, including documents incorporated herein by reference, contains information that may constitute “forward-looking statements” within the meaning of Section 27A of the Securities Act of 1933, as amended, and Section 21E of the Exchange Act,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144" w:lineRule="exact"/>
        <w:rPr>
          <w:sz w:val="20"/>
          <w:szCs w:val="20"/>
          <w:color w:val="auto"/>
        </w:rPr>
      </w:pPr>
    </w:p>
    <w:p>
      <w:pPr>
        <w:ind w:left="1380" w:right="239" w:firstLine="341"/>
        <w:spacing w:after="0" w:line="250" w:lineRule="auto"/>
        <w:rPr>
          <w:sz w:val="20"/>
          <w:szCs w:val="20"/>
          <w:color w:val="auto"/>
        </w:rPr>
      </w:pPr>
      <w:r>
        <w:rPr>
          <w:rFonts w:ascii="Times New Roman" w:cs="Times New Roman" w:eastAsia="Times New Roman" w:hAnsi="Times New Roman"/>
          <w:sz w:val="14"/>
          <w:szCs w:val="14"/>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inflation, interest rates and related monetary policy by governments in response to inflation, and the strength of the residential and commercial real estate markets, on economic activity and our operations; geopolitical events, including the war between Russia and Ukraine, and regulatory, economic and other risks associated with our global sales and operations, including with respect to domestic content requirements applicable to projects with governmental funding; the global impact of the COVID-19 pandemic on the macroeconomy and our business, operations, growth, and financial condition; actual or potential other epidemics, pandemics or global health crises; availability, shortage or delays in receiving electronic components (in particular, semiconductors), parts and raw materials from our supply chain; manufacturing and operating cost increases due to macroeconomic conditions, including inflation, energy supply,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products; disruptions in operations at our facilities or that of third parties upon which we rely; failure to successfully execute large projects, including with respect to meeting performance guarantees and customers’ safety requirements; our ability to retain and attract senior management and other diverse and key talent, as well as competition for overall talent and labor; difficulty predicting our financial results; defects, security, warranty and liability claims, and recalls with respect to products; safe and compliant handling of wastewater and hazardous materials; availability, regulation or interference with radio spectrum used by certain of our products; uncertainty related to restructuring and realignment actions and related costs and savings; our ability to continue strategic investments for growth; our ability to successfully identify, execute and integrate acquisitions; volatility in served markets or impacts on our business and operations due to weather conditions, including the effects of climate change; fluctuations in foreign currency exchange rates; our ability to borrow or refinance our existing indebtedness, and uncertainty around the availability of liquidity sufficient to meet our needs; risk of future impairments to goodwill and other intangible assets; failure to comply with, or changes in, laws or regulations, including those pertaining to anti-corruption, data privacy and security, export and import, our products, competition, and the environment and climate change; changes in our effective tax rates or tax expenses; legal, governmental or regulatory claims, investigations or proceedings and associated contingent liabilities; risks related to our recently completed acquisition of Evoqua Water Technologies Corp., including related to our ability to retain and hire key personnel, the realization of expected benefits and synergies, the need to incur additional or unexpected costs, charges or expenses associated with to the integration of the combined companies, delays or challenges with the integration, potential adverse reactions or changes to relationships with customers, suppliers, distributors and other business partners, competitive responses to the acquisition, actual or potential litigation and associated costs and expenses, and impacts to our share price and dilution of shareholders’ ownership; and other factors set forth under “Item 1A. Risk Factors” in our Annual Report on Form 10-K for the year ended December 31, 2022 and in subsequent filings we make with the SEC.</w:t>
      </w:r>
    </w:p>
    <w:p>
      <w:pPr>
        <w:spacing w:after="0" w:line="1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Forward-looking and other statements incorporated by reference in this prospectus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or incorporated by reference herein are based on information currently available to us as of the date of this prospectus. We undertake no obligation to publicly update or revise any forward-looking statements, whether as a result of new information, future events or otherwise, except as required by law. You are advised to consult any additional disclosures we make in our Annual Reports on Form 10-K, Quarterly Reports on Form 10-Q and current reports on Form 8-K filed with the SEC. See “Where You Can Find More Information.”</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THE REGISTRANT</w:t>
      </w:r>
    </w:p>
    <w:p>
      <w:pPr>
        <w:spacing w:after="0" w:line="176"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67" w:lineRule="exact"/>
        <w:rPr>
          <w:sz w:val="20"/>
          <w:szCs w:val="20"/>
          <w:color w:val="auto"/>
        </w:rPr>
      </w:pPr>
    </w:p>
    <w:p>
      <w:pPr>
        <w:ind w:left="1700" w:right="279" w:hanging="325"/>
        <w:spacing w:after="0" w:line="254" w:lineRule="auto"/>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Water Infrastructure </w:t>
      </w:r>
      <w:r>
        <w:rPr>
          <w:rFonts w:ascii="Times New Roman" w:cs="Times New Roman" w:eastAsia="Times New Roman" w:hAnsi="Times New Roman"/>
          <w:sz w:val="14"/>
          <w:szCs w:val="14"/>
          <w:color w:val="auto"/>
        </w:rPr>
        <w:t>serves the water infrastructure sector with pump systems that transport water from aquifers, lakes, rivers and seas;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0" w:lineRule="exact"/>
        <w:rPr>
          <w:rFonts w:ascii="Times New Roman" w:cs="Times New Roman" w:eastAsia="Times New Roman" w:hAnsi="Times New Roman"/>
          <w:sz w:val="14"/>
          <w:szCs w:val="14"/>
          <w:color w:val="auto"/>
        </w:rPr>
      </w:pPr>
    </w:p>
    <w:p>
      <w:pPr>
        <w:ind w:left="1700" w:right="419" w:hanging="325"/>
        <w:spacing w:after="0" w:line="258" w:lineRule="auto"/>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Applied Water </w:t>
      </w:r>
      <w:r>
        <w:rPr>
          <w:rFonts w:ascii="Times New Roman" w:cs="Times New Roman" w:eastAsia="Times New Roman" w:hAnsi="Times New Roman"/>
          <w:sz w:val="14"/>
          <w:szCs w:val="14"/>
          <w:color w:val="auto"/>
        </w:rPr>
        <w:t>serves the water usage applications sector with water pressure boosting systems for heating, ventilation and air conditioning,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66" w:lineRule="exact"/>
        <w:rPr>
          <w:rFonts w:ascii="Times New Roman" w:cs="Times New Roman" w:eastAsia="Times New Roman" w:hAnsi="Times New Roman"/>
          <w:sz w:val="14"/>
          <w:szCs w:val="14"/>
          <w:color w:val="auto"/>
        </w:rPr>
      </w:pPr>
    </w:p>
    <w:p>
      <w:pPr>
        <w:ind w:left="1700" w:right="299" w:hanging="325"/>
        <w:spacing w:after="0" w:line="254" w:lineRule="auto"/>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Measurement &amp; Control Solutions </w:t>
      </w:r>
      <w:r>
        <w:rPr>
          <w:rFonts w:ascii="Times New Roman" w:cs="Times New Roman" w:eastAsia="Times New Roman" w:hAnsi="Times New Roman"/>
          <w:sz w:val="14"/>
          <w:szCs w:val="14"/>
          <w:color w:val="auto"/>
        </w:rPr>
        <w:t>primarily serves the utility infrastructure solutions and services sector by delivering communications, smart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146" w:lineRule="exact"/>
        <w:rPr>
          <w:sz w:val="20"/>
          <w:szCs w:val="20"/>
          <w:color w:val="auto"/>
        </w:rPr>
      </w:pPr>
    </w:p>
    <w:p>
      <w:pPr>
        <w:ind w:left="1380" w:right="599" w:firstLine="341"/>
        <w:spacing w:after="0" w:line="281" w:lineRule="auto"/>
        <w:rPr>
          <w:sz w:val="20"/>
          <w:szCs w:val="20"/>
          <w:color w:val="auto"/>
        </w:rPr>
      </w:pPr>
      <w:r>
        <w:rPr>
          <w:rFonts w:ascii="Times New Roman" w:cs="Times New Roman" w:eastAsia="Times New Roman" w:hAnsi="Times New Roman"/>
          <w:sz w:val="14"/>
          <w:szCs w:val="14"/>
          <w:color w:val="auto"/>
        </w:rPr>
        <w:t>Xylem Inc. was incorporated under the laws of the State of Indiana on May 4, 2011. Our principal executive offices are located at 301 Water Street SE, Washington, DC 20003 and our telephone number is (202) 869-9150.</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6" w:lineRule="exact"/>
        <w:rPr>
          <w:sz w:val="20"/>
          <w:szCs w:val="20"/>
          <w:color w:val="auto"/>
        </w:rPr>
      </w:pPr>
    </w:p>
    <w:p>
      <w:pPr>
        <w:ind w:left="1380" w:right="239" w:firstLine="341"/>
        <w:spacing w:after="0" w:line="254" w:lineRule="auto"/>
        <w:rPr>
          <w:sz w:val="20"/>
          <w:szCs w:val="20"/>
          <w:color w:val="auto"/>
        </w:rPr>
      </w:pPr>
      <w:r>
        <w:rPr>
          <w:rFonts w:ascii="Times New Roman" w:cs="Times New Roman" w:eastAsia="Times New Roman" w:hAnsi="Times New Roman"/>
          <w:sz w:val="14"/>
          <w:szCs w:val="14"/>
          <w:color w:val="auto"/>
        </w:rPr>
        <w:t>Investing in our securities involves risk. Before you decide whether to purchase any of our securities, in addition to the other information, documents or reports included in or incorporated by reference into this prospectus and any accompanying prospectus supplement or other offering materials, you should carefully consider the risk factors in the section entitled “Risk Factors” in any prospectus supplement as well as our Annual Report on Form 10-K for the fiscal year ended December 31, 2022, which is incorporated by reference into this prospectus and any prospectus supplement in their entirety, as the same may be amended, supplemented or superseded from time to time by our filings under the Exchange Act. For more information, see the section entitled “Where You Can Find More Information.” These risks could materially and adversely affect our business, results of operations and financial condition and could result in a partial or complete loss of your investment.</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6"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Unless otherwise stated in the applicable prospectus supplement, we will use the proceeds of any offering for general corporate purposes, which may include repayment of debt, repurchases of outstanding shares of common stock, payment of dividends, acquisitions of companies or businesses, investments, working capital and capital expenditures. We have not determined the amount of net proceeds to be used specifically for such purposes. As a result, management will retain broad discretion over the allocation of net proceeds. Net proceeds may be temporarily invested prior to use.</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6"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47" w:lineRule="exact"/>
        <w:rPr>
          <w:sz w:val="20"/>
          <w:szCs w:val="20"/>
          <w:color w:val="auto"/>
        </w:rPr>
      </w:pPr>
    </w:p>
    <w:p>
      <w:pPr>
        <w:jc w:val="both"/>
        <w:ind w:left="1380" w:right="439" w:firstLine="341"/>
        <w:spacing w:after="0" w:line="265" w:lineRule="auto"/>
        <w:rPr>
          <w:sz w:val="20"/>
          <w:szCs w:val="20"/>
          <w:color w:val="auto"/>
        </w:rPr>
      </w:pPr>
      <w:r>
        <w:rPr>
          <w:rFonts w:ascii="Times New Roman" w:cs="Times New Roman" w:eastAsia="Times New Roman" w:hAnsi="Times New Roman"/>
          <w:sz w:val="14"/>
          <w:szCs w:val="14"/>
          <w:color w:val="auto"/>
        </w:rPr>
        <w:t>Xylem will be the issuer of any debt securities we may offer and references to “we,” “our” or “us” in this description do not, unless the context otherwise indicates, include any of its subsidiaries. Capitalized terms used but not defined in this section have the respective meanings set forth in the applicable indenture.</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2" w:lineRule="exact"/>
        <w:rPr>
          <w:sz w:val="20"/>
          <w:szCs w:val="20"/>
          <w:color w:val="auto"/>
        </w:rPr>
      </w:pPr>
    </w:p>
    <w:p>
      <w:pPr>
        <w:ind w:left="1380" w:right="299" w:firstLine="341"/>
        <w:spacing w:after="0" w:line="275" w:lineRule="auto"/>
        <w:rPr>
          <w:sz w:val="20"/>
          <w:szCs w:val="20"/>
          <w:color w:val="auto"/>
        </w:rPr>
      </w:pPr>
      <w:r>
        <w:rPr>
          <w:rFonts w:ascii="Times New Roman" w:cs="Times New Roman" w:eastAsia="Times New Roman" w:hAnsi="Times New Roman"/>
          <w:sz w:val="13"/>
          <w:szCs w:val="13"/>
          <w:color w:val="auto"/>
        </w:rPr>
        <w:t>The debt securities that we may offer will be either senior debt securities or subordinated debt securities. Any senior debt securities will be issued under an indenture, which we refer to as the senior indenture, dated as of March 11, 2016, between us and Deutsche Bank Trust Company Americas, as trustee, as supplemented and amended from time to time.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The terms of each series of debt securities will be set forth in a resolution of the board of directors of the Registrant, an officers’ certificate or by a supplemental indenture. You should read the indentures, including any amendments or supplements or any officers’ certificate setting forth the terms of any series of notes, carefully to fully understand the terms of the debt securities. The forms of the indentures have been filed as exhibits to the registration statement of which this prospectus is a part. The indentures are subject to, and are governed by, the Trust Indenture Act of 1939, as amended (the “Trust Indenture Act”).</w:t>
      </w:r>
    </w:p>
    <w:p>
      <w:pPr>
        <w:spacing w:after="0" w:line="133" w:lineRule="exact"/>
        <w:rPr>
          <w:sz w:val="20"/>
          <w:szCs w:val="20"/>
          <w:color w:val="auto"/>
        </w:rPr>
      </w:pPr>
    </w:p>
    <w:p>
      <w:pPr>
        <w:ind w:left="1380" w:right="279" w:firstLine="341"/>
        <w:spacing w:after="0" w:line="255" w:lineRule="auto"/>
        <w:rPr>
          <w:sz w:val="20"/>
          <w:szCs w:val="20"/>
          <w:color w:val="auto"/>
        </w:rPr>
      </w:pPr>
      <w:r>
        <w:rPr>
          <w:rFonts w:ascii="Times New Roman" w:cs="Times New Roman" w:eastAsia="Times New Roman" w:hAnsi="Times New Roman"/>
          <w:sz w:val="14"/>
          <w:szCs w:val="14"/>
          <w:color w:val="auto"/>
        </w:rPr>
        <w:t>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w:t>
      </w:r>
    </w:p>
    <w:p>
      <w:pPr>
        <w:spacing w:after="0" w:line="146"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539" w:firstLine="341"/>
        <w:spacing w:after="0" w:line="281" w:lineRule="auto"/>
        <w:rPr>
          <w:sz w:val="20"/>
          <w:szCs w:val="20"/>
          <w:color w:val="auto"/>
        </w:rPr>
      </w:pPr>
      <w:r>
        <w:rPr>
          <w:rFonts w:ascii="Times New Roman" w:cs="Times New Roman" w:eastAsia="Times New Roman" w:hAnsi="Times New Roman"/>
          <w:sz w:val="14"/>
          <w:szCs w:val="14"/>
          <w:color w:val="auto"/>
        </w:rPr>
        <w:t>Reference is made to the prospectus supplement for the following and other possible terms of each series of the debt securities with respect to which this prospectus is being delivered:</w:t>
      </w:r>
    </w:p>
    <w:p>
      <w:pPr>
        <w:spacing w:after="0" w:line="52" w:lineRule="exact"/>
        <w:rPr>
          <w:sz w:val="20"/>
          <w:szCs w:val="20"/>
          <w:color w:val="auto"/>
        </w:rPr>
      </w:pPr>
    </w:p>
    <w:p>
      <w:pPr>
        <w:ind w:left="1700" w:hanging="325"/>
        <w:spacing w:after="0"/>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100" w:lineRule="exact"/>
        <w:rPr>
          <w:rFonts w:ascii="Times New Roman" w:cs="Times New Roman" w:eastAsia="Times New Roman" w:hAnsi="Times New Roman"/>
          <w:sz w:val="14"/>
          <w:szCs w:val="14"/>
          <w:color w:val="auto"/>
        </w:rPr>
      </w:pPr>
    </w:p>
    <w:p>
      <w:pPr>
        <w:ind w:left="1700" w:right="559" w:hanging="325"/>
        <w:spacing w:after="0" w:line="281"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debt securities of the series that may be authenticated and delivered under the applicable indenture;</w:t>
      </w:r>
    </w:p>
    <w:p>
      <w:pPr>
        <w:spacing w:after="0" w:line="52" w:lineRule="exact"/>
        <w:rPr>
          <w:rFonts w:ascii="Times New Roman" w:cs="Times New Roman" w:eastAsia="Times New Roman" w:hAnsi="Times New Roman"/>
          <w:sz w:val="14"/>
          <w:szCs w:val="14"/>
          <w:color w:val="auto"/>
        </w:rPr>
      </w:pPr>
    </w:p>
    <w:p>
      <w:pPr>
        <w:ind w:left="1700" w:hanging="242"/>
        <w:spacing w:after="0"/>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 date or issue dates of the debt securities of the series;</w:t>
      </w:r>
    </w:p>
    <w:p>
      <w:pPr>
        <w:spacing w:after="0" w:line="100" w:lineRule="exact"/>
        <w:rPr>
          <w:rFonts w:ascii="Times New Roman" w:cs="Times New Roman" w:eastAsia="Times New Roman" w:hAnsi="Times New Roman"/>
          <w:sz w:val="14"/>
          <w:szCs w:val="14"/>
          <w:color w:val="auto"/>
        </w:rPr>
      </w:pPr>
    </w:p>
    <w:p>
      <w:pPr>
        <w:ind w:left="1700" w:hanging="242"/>
        <w:spacing w:after="0"/>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of the debt securities of the series;</w:t>
      </w:r>
    </w:p>
    <w:p>
      <w:pPr>
        <w:spacing w:after="0" w:line="100" w:lineRule="exact"/>
        <w:rPr>
          <w:rFonts w:ascii="Times New Roman" w:cs="Times New Roman" w:eastAsia="Times New Roman" w:hAnsi="Times New Roman"/>
          <w:sz w:val="14"/>
          <w:szCs w:val="14"/>
          <w:color w:val="auto"/>
        </w:rPr>
      </w:pPr>
    </w:p>
    <w:p>
      <w:pPr>
        <w:ind w:left="1700" w:right="279" w:hanging="242"/>
        <w:spacing w:after="0" w:line="281" w:lineRule="auto"/>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premium, if any, and additional amounts, if any, payable with respect to the debt securities of the series are payable;</w:t>
      </w:r>
    </w:p>
    <w:p>
      <w:pPr>
        <w:spacing w:after="0" w:line="52" w:lineRule="exact"/>
        <w:rPr>
          <w:rFonts w:ascii="Times New Roman" w:cs="Times New Roman" w:eastAsia="Times New Roman" w:hAnsi="Times New Roman"/>
          <w:sz w:val="14"/>
          <w:szCs w:val="14"/>
          <w:color w:val="auto"/>
        </w:rPr>
      </w:pPr>
    </w:p>
    <w:p>
      <w:pPr>
        <w:ind w:left="1700" w:hanging="242"/>
        <w:spacing w:after="0"/>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will be issued at par of, at a premium over or a discount from their face amount;</w:t>
      </w:r>
    </w:p>
    <w:p>
      <w:pPr>
        <w:spacing w:after="0" w:line="100" w:lineRule="exact"/>
        <w:rPr>
          <w:rFonts w:ascii="Times New Roman" w:cs="Times New Roman" w:eastAsia="Times New Roman" w:hAnsi="Times New Roman"/>
          <w:sz w:val="14"/>
          <w:szCs w:val="14"/>
          <w:color w:val="auto"/>
        </w:rPr>
      </w:pPr>
    </w:p>
    <w:p>
      <w:pPr>
        <w:ind w:left="1700" w:right="359" w:hanging="242"/>
        <w:spacing w:after="0" w:line="265" w:lineRule="auto"/>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at which the debt securities of the series shall bear interest, if any, and, if applicable, the manner of calculation of such rate or rates, if any, including any procedures to vary or reset such rate or rates, and the basis upon which interest will be calculated if other than that of a 360-day year of twelve 30-day months;</w:t>
      </w:r>
    </w:p>
    <w:p>
      <w:pPr>
        <w:spacing w:after="0" w:line="63" w:lineRule="exact"/>
        <w:rPr>
          <w:rFonts w:ascii="Times New Roman" w:cs="Times New Roman" w:eastAsia="Times New Roman" w:hAnsi="Times New Roman"/>
          <w:sz w:val="14"/>
          <w:szCs w:val="14"/>
          <w:color w:val="auto"/>
        </w:rPr>
      </w:pPr>
    </w:p>
    <w:p>
      <w:pPr>
        <w:ind w:left="1700" w:right="479" w:hanging="242"/>
        <w:spacing w:after="0" w:line="281" w:lineRule="auto"/>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52" w:lineRule="exact"/>
        <w:rPr>
          <w:rFonts w:ascii="Times New Roman" w:cs="Times New Roman" w:eastAsia="Times New Roman" w:hAnsi="Times New Roman"/>
          <w:sz w:val="14"/>
          <w:szCs w:val="14"/>
          <w:color w:val="auto"/>
        </w:rPr>
      </w:pPr>
    </w:p>
    <w:p>
      <w:pPr>
        <w:ind w:left="1700" w:hanging="242"/>
        <w:spacing w:after="0"/>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or defer the payment of interest and the duration of such extension or deferral;</w:t>
      </w:r>
    </w:p>
    <w:p>
      <w:pPr>
        <w:spacing w:after="0" w:line="100" w:lineRule="exact"/>
        <w:rPr>
          <w:rFonts w:ascii="Times New Roman" w:cs="Times New Roman" w:eastAsia="Times New Roman" w:hAnsi="Times New Roman"/>
          <w:sz w:val="14"/>
          <w:szCs w:val="14"/>
          <w:color w:val="auto"/>
        </w:rPr>
      </w:pPr>
    </w:p>
    <w:p>
      <w:pPr>
        <w:ind w:left="1700" w:right="319" w:hanging="242"/>
        <w:spacing w:after="0" w:line="260" w:lineRule="auto"/>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if any, to redeem, repay or purchase any of the debt securities of the series pursuant to any sinking fund, mandatory redemption, purchase obligation or analogous provisions, including payments made in cash in anticipation of future sinking fund obligations at the option of a holder thereof and the period or periods within which, the price or prices at which, and the terms and conditions upon which debt securities of the series shall be redeemed, repaid, or purchased, in whole or in part, pursuant to such obligation;</w:t>
      </w:r>
    </w:p>
    <w:p>
      <w:pPr>
        <w:spacing w:after="0" w:line="66" w:lineRule="exact"/>
        <w:rPr>
          <w:rFonts w:ascii="Times New Roman" w:cs="Times New Roman" w:eastAsia="Times New Roman" w:hAnsi="Times New Roman"/>
          <w:sz w:val="14"/>
          <w:szCs w:val="14"/>
          <w:color w:val="auto"/>
        </w:rPr>
      </w:pPr>
    </w:p>
    <w:p>
      <w:pPr>
        <w:ind w:left="1700" w:right="299" w:hanging="242"/>
        <w:spacing w:after="0" w:line="265" w:lineRule="auto"/>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series shall be issued in whole or in part in the form of a global security or securities, the type of global security to be issued, the identity of the depositary for such global security and the terms and conditions, if any, upon which interests in the debt securities of the series represented by such global security may be exchanged, in whole or in part, for other individual securities represented thereby;</w:t>
      </w:r>
    </w:p>
    <w:p>
      <w:pPr>
        <w:spacing w:after="0" w:line="63" w:lineRule="exact"/>
        <w:rPr>
          <w:rFonts w:ascii="Times New Roman" w:cs="Times New Roman" w:eastAsia="Times New Roman" w:hAnsi="Times New Roman"/>
          <w:sz w:val="14"/>
          <w:szCs w:val="14"/>
          <w:color w:val="auto"/>
        </w:rPr>
      </w:pPr>
    </w:p>
    <w:p>
      <w:pPr>
        <w:ind w:left="1700" w:hanging="242"/>
        <w:spacing w:after="0"/>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subordinated debt securities, the subordination terms of the debt securities;</w:t>
      </w:r>
    </w:p>
    <w:p>
      <w:pPr>
        <w:spacing w:after="0" w:line="100" w:lineRule="exact"/>
        <w:rPr>
          <w:rFonts w:ascii="Times New Roman" w:cs="Times New Roman" w:eastAsia="Times New Roman" w:hAnsi="Times New Roman"/>
          <w:sz w:val="14"/>
          <w:szCs w:val="14"/>
          <w:color w:val="auto"/>
        </w:rPr>
      </w:pPr>
    </w:p>
    <w:p>
      <w:pPr>
        <w:ind w:left="1700" w:right="259" w:hanging="242"/>
        <w:spacing w:after="0" w:line="281" w:lineRule="auto"/>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$2,000 or any multiple of $1,000 in excess thereof, the denominations in which the debt securities of the series shall be issuable;</w:t>
      </w:r>
    </w:p>
    <w:p>
      <w:pPr>
        <w:spacing w:after="0" w:line="52" w:lineRule="exact"/>
        <w:rPr>
          <w:rFonts w:ascii="Times New Roman" w:cs="Times New Roman" w:eastAsia="Times New Roman" w:hAnsi="Times New Roman"/>
          <w:sz w:val="14"/>
          <w:szCs w:val="14"/>
          <w:color w:val="auto"/>
        </w:rPr>
      </w:pPr>
    </w:p>
    <w:p>
      <w:pPr>
        <w:ind w:left="1700" w:right="279" w:hanging="242"/>
        <w:spacing w:after="0" w:line="265" w:lineRule="auto"/>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additional amounts of the debt securities of the series shall be payable in respect of any taxes, assessments, or other governmental charges withheld or deducted and, if so, whether we will have the option to redeem the debt securities of such series rather than pay such additional amounts;</w:t>
      </w:r>
    </w:p>
    <w:p>
      <w:pPr>
        <w:spacing w:after="0" w:line="63" w:lineRule="exact"/>
        <w:rPr>
          <w:rFonts w:ascii="Times New Roman" w:cs="Times New Roman" w:eastAsia="Times New Roman" w:hAnsi="Times New Roman"/>
          <w:sz w:val="14"/>
          <w:szCs w:val="14"/>
          <w:color w:val="auto"/>
        </w:rPr>
      </w:pPr>
    </w:p>
    <w:p>
      <w:pPr>
        <w:ind w:left="1700" w:right="339" w:hanging="242"/>
        <w:spacing w:after="0" w:line="265" w:lineRule="auto"/>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series are to be issuable in definitive form (whether upon original issue or upon exchange of a temporary debt security for a definitive security of such series) only upon receipt of certain certificates or other documents or upon satisfaction of other conditions, then the form and terms of such certificates, documents and/or conditions;</w:t>
      </w:r>
    </w:p>
    <w:p>
      <w:pPr>
        <w:spacing w:after="0" w:line="63" w:lineRule="exact"/>
        <w:rPr>
          <w:rFonts w:ascii="Times New Roman" w:cs="Times New Roman" w:eastAsia="Times New Roman" w:hAnsi="Times New Roman"/>
          <w:sz w:val="14"/>
          <w:szCs w:val="14"/>
          <w:color w:val="auto"/>
        </w:rPr>
      </w:pPr>
    </w:p>
    <w:p>
      <w:pPr>
        <w:ind w:left="1700" w:right="279" w:hanging="242"/>
        <w:spacing w:after="0" w:line="265" w:lineRule="auto"/>
        <w:tabs>
          <w:tab w:leader="none" w:pos="17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or conversion of the debt securities of such series, whether or not at the option of the holders thereof, for or into new debt securities of a different series or for or into any other securities which may include shares of our capital stock or any of our subsidiaries or securities directly or indirectly convertible into or exchangeable for any such shares or securities unaffiliated with us or any of our subsidiaries;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right="359" w:hanging="325"/>
        <w:spacing w:after="0" w:line="281"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 which payment of the principal of, premium, if any, and interest on debt securities of the series shall be payable and the period or periods within which and the terms and conditions upon which such election may be made;</w:t>
      </w:r>
    </w:p>
    <w:p>
      <w:pPr>
        <w:spacing w:after="0" w:line="52" w:lineRule="exact"/>
        <w:rPr>
          <w:rFonts w:ascii="Times New Roman" w:cs="Times New Roman" w:eastAsia="Times New Roman" w:hAnsi="Times New Roman"/>
          <w:sz w:val="14"/>
          <w:szCs w:val="14"/>
          <w:color w:val="auto"/>
        </w:rPr>
      </w:pPr>
    </w:p>
    <w:p>
      <w:pPr>
        <w:ind w:left="1700" w:right="399" w:hanging="325"/>
        <w:spacing w:after="0" w:line="281"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principal or any premium or interest on debt securities of a series may be determined with reference to an index or pursuant to a formula, the manner in which such amounts will be determined;</w:t>
      </w:r>
    </w:p>
    <w:p>
      <w:pPr>
        <w:spacing w:after="0" w:line="52" w:lineRule="exact"/>
        <w:rPr>
          <w:rFonts w:ascii="Times New Roman" w:cs="Times New Roman" w:eastAsia="Times New Roman" w:hAnsi="Times New Roman"/>
          <w:sz w:val="14"/>
          <w:szCs w:val="14"/>
          <w:color w:val="auto"/>
        </w:rPr>
      </w:pPr>
    </w:p>
    <w:p>
      <w:pPr>
        <w:ind w:left="1700" w:right="459" w:hanging="325"/>
        <w:spacing w:after="0" w:line="281"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 debt securities of a series, at the option of the holders thereof, for other debt securities of the same series of the same aggregate principal amount of a different authorized kind or different authorized denomination or denominations, or both;</w:t>
      </w:r>
    </w:p>
    <w:p>
      <w:pPr>
        <w:spacing w:after="0" w:line="52" w:lineRule="exact"/>
        <w:rPr>
          <w:rFonts w:ascii="Times New Roman" w:cs="Times New Roman" w:eastAsia="Times New Roman" w:hAnsi="Times New Roman"/>
          <w:sz w:val="14"/>
          <w:szCs w:val="14"/>
          <w:color w:val="auto"/>
        </w:rPr>
      </w:pPr>
    </w:p>
    <w:p>
      <w:pPr>
        <w:ind w:left="1700" w:right="419" w:hanging="325"/>
        <w:spacing w:after="0" w:line="281"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guarantees on the debt securities and the identity of any guarantor thereof, the conditions of such guarantee and, if applicable, the terms and conditions upon which such guarantees may be subordinated to other indebtedness of the respective guarantors;</w:t>
      </w:r>
    </w:p>
    <w:p>
      <w:pPr>
        <w:spacing w:after="0" w:line="52" w:lineRule="exact"/>
        <w:rPr>
          <w:rFonts w:ascii="Times New Roman" w:cs="Times New Roman" w:eastAsia="Times New Roman" w:hAnsi="Times New Roman"/>
          <w:sz w:val="14"/>
          <w:szCs w:val="14"/>
          <w:color w:val="auto"/>
        </w:rPr>
      </w:pPr>
    </w:p>
    <w:p>
      <w:pPr>
        <w:ind w:left="1700" w:right="259" w:hanging="325"/>
        <w:spacing w:after="0" w:line="281"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by a trustee of an authenticating agent in one or more places other than the corporate trust office of such trustee, with power to act on behalf of such trustee, and subject to its direction, in the authentication and delivery of the debt securities of the series;</w:t>
      </w:r>
    </w:p>
    <w:p>
      <w:pPr>
        <w:spacing w:after="0" w:line="52" w:lineRule="exact"/>
        <w:rPr>
          <w:rFonts w:ascii="Times New Roman" w:cs="Times New Roman" w:eastAsia="Times New Roman" w:hAnsi="Times New Roman"/>
          <w:sz w:val="14"/>
          <w:szCs w:val="14"/>
          <w:color w:val="auto"/>
        </w:rPr>
      </w:pPr>
    </w:p>
    <w:p>
      <w:pPr>
        <w:ind w:left="1700" w:right="279" w:hanging="325"/>
        <w:spacing w:after="0" w:line="281"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trustees, depositaries, paying agents, transfer agents, exchange agents, conversion agents, registrars or other agents with respect to such series, if different from those set forth in the applicable indenture;</w:t>
      </w:r>
    </w:p>
    <w:p>
      <w:pPr>
        <w:spacing w:after="0" w:line="52" w:lineRule="exact"/>
        <w:rPr>
          <w:rFonts w:ascii="Times New Roman" w:cs="Times New Roman" w:eastAsia="Times New Roman" w:hAnsi="Times New Roman"/>
          <w:sz w:val="14"/>
          <w:szCs w:val="14"/>
          <w:color w:val="auto"/>
        </w:rPr>
      </w:pPr>
    </w:p>
    <w:p>
      <w:pPr>
        <w:ind w:left="1700" w:right="699" w:hanging="325"/>
        <w:spacing w:after="0" w:line="281"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of the debt securities of the series, if other than the principal amount thereof, that shall be payable upon declaration of acceleration of the maturity thereof;</w:t>
      </w:r>
    </w:p>
    <w:p>
      <w:pPr>
        <w:spacing w:after="0" w:line="52" w:lineRule="exact"/>
        <w:rPr>
          <w:rFonts w:ascii="Times New Roman" w:cs="Times New Roman" w:eastAsia="Times New Roman" w:hAnsi="Times New Roman"/>
          <w:sz w:val="14"/>
          <w:szCs w:val="14"/>
          <w:color w:val="auto"/>
        </w:rPr>
      </w:pPr>
    </w:p>
    <w:p>
      <w:pPr>
        <w:ind w:left="1700" w:right="319" w:hanging="325"/>
        <w:spacing w:after="0" w:line="260"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restrictive covenants or events of default that will apply to the debt securities of the series, or any changes to the restrictive covenants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w:t>
      </w:r>
    </w:p>
    <w:p>
      <w:pPr>
        <w:spacing w:after="0" w:line="66"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upon what terms debt securities of a series may be defeased if different from the provisions set forth in the applicable indenture; and</w:t>
      </w:r>
    </w:p>
    <w:p>
      <w:pPr>
        <w:spacing w:after="0" w:line="100" w:lineRule="exact"/>
        <w:rPr>
          <w:rFonts w:ascii="Times New Roman" w:cs="Times New Roman" w:eastAsia="Times New Roman" w:hAnsi="Times New Roman"/>
          <w:sz w:val="14"/>
          <w:szCs w:val="14"/>
          <w:color w:val="auto"/>
        </w:rPr>
      </w:pPr>
    </w:p>
    <w:p>
      <w:pPr>
        <w:ind w:left="1700" w:right="279" w:hanging="325"/>
        <w:spacing w:after="0" w:line="265"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additional, eliminated or changed terms that shall apply to the debt securities of the series, including any terms that may be required by or advisable under United States laws or regulations, including the Securities Act of 1933, as amended (the “Securities Act”) and the rules and regulations promulgated thereunder, or advisable in connection with the marketing of debt securities of that series.</w:t>
      </w:r>
    </w:p>
    <w:p>
      <w:pPr>
        <w:spacing w:after="0" w:line="105" w:lineRule="exact"/>
        <w:rPr>
          <w:sz w:val="20"/>
          <w:szCs w:val="20"/>
          <w:color w:val="auto"/>
        </w:rPr>
      </w:pPr>
    </w:p>
    <w:p>
      <w:pPr>
        <w:jc w:val="both"/>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36" w:lineRule="exact"/>
        <w:rPr>
          <w:sz w:val="20"/>
          <w:szCs w:val="20"/>
          <w:color w:val="auto"/>
        </w:rPr>
      </w:pPr>
    </w:p>
    <w:p>
      <w:pPr>
        <w:jc w:val="both"/>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Subordination of Subordinated Debt Securities</w:t>
      </w:r>
    </w:p>
    <w:p>
      <w:pPr>
        <w:spacing w:after="0" w:line="92" w:lineRule="exact"/>
        <w:rPr>
          <w:sz w:val="20"/>
          <w:szCs w:val="20"/>
          <w:color w:val="auto"/>
        </w:rPr>
      </w:pPr>
    </w:p>
    <w:p>
      <w:pPr>
        <w:ind w:left="1380" w:right="279" w:firstLine="341"/>
        <w:spacing w:after="0" w:line="281"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and conditions, if any, upon which any series of subordinated debt securities is subordinated to debt securities of another series or to our other indebtedness. The terms will include a description of:</w:t>
      </w:r>
    </w:p>
    <w:p>
      <w:pPr>
        <w:spacing w:after="0" w:line="52" w:lineRule="exact"/>
        <w:rPr>
          <w:sz w:val="20"/>
          <w:szCs w:val="20"/>
          <w:color w:val="auto"/>
        </w:rPr>
      </w:pPr>
    </w:p>
    <w:p>
      <w:pPr>
        <w:ind w:left="1700" w:hanging="325"/>
        <w:spacing w:after="0"/>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indebtedness ranking senior to the debt securities being offered;</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4"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right="519" w:hanging="325"/>
        <w:spacing w:after="0" w:line="281"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if any, on payments to the holders of the debt securities being offered while a default with respect to the senior indebtedness is continuing; and</w:t>
      </w:r>
    </w:p>
    <w:p>
      <w:pPr>
        <w:spacing w:after="0" w:line="52"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holders of the debt securities being offered to remit some payments to the holders of senior indebtedness.</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2" w:lineRule="exact"/>
        <w:rPr>
          <w:sz w:val="20"/>
          <w:szCs w:val="20"/>
          <w:color w:val="auto"/>
        </w:rPr>
      </w:pPr>
    </w:p>
    <w:p>
      <w:pPr>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Selection and Notice</w:t>
      </w:r>
    </w:p>
    <w:p>
      <w:pPr>
        <w:spacing w:after="0" w:line="92" w:lineRule="exact"/>
        <w:rPr>
          <w:sz w:val="20"/>
          <w:szCs w:val="20"/>
          <w:color w:val="auto"/>
        </w:rPr>
      </w:pPr>
    </w:p>
    <w:p>
      <w:pPr>
        <w:ind w:left="1380" w:right="839" w:firstLine="341"/>
        <w:spacing w:after="0" w:line="281" w:lineRule="auto"/>
        <w:rPr>
          <w:sz w:val="20"/>
          <w:szCs w:val="20"/>
          <w:color w:val="auto"/>
        </w:rPr>
      </w:pPr>
      <w:r>
        <w:rPr>
          <w:rFonts w:ascii="Times New Roman" w:cs="Times New Roman" w:eastAsia="Times New Roman" w:hAnsi="Times New Roman"/>
          <w:sz w:val="14"/>
          <w:szCs w:val="14"/>
          <w:color w:val="auto"/>
        </w:rPr>
        <w:t>If less than all of the debt securities of a series are to be redeemed at any time, the trustee will select the debt securities of such series for redemption by lot, based on the applicable procedures of The Depository Trust Company (“DTC”).</w:t>
      </w:r>
    </w:p>
    <w:p>
      <w:pPr>
        <w:spacing w:after="0" w:line="125" w:lineRule="exact"/>
        <w:rPr>
          <w:sz w:val="20"/>
          <w:szCs w:val="20"/>
          <w:color w:val="auto"/>
        </w:rPr>
      </w:pPr>
    </w:p>
    <w:p>
      <w:pPr>
        <w:ind w:left="1380" w:right="319" w:firstLine="341"/>
        <w:spacing w:after="0" w:line="286" w:lineRule="auto"/>
        <w:rPr>
          <w:sz w:val="20"/>
          <w:szCs w:val="20"/>
          <w:color w:val="auto"/>
        </w:rPr>
      </w:pPr>
      <w:r>
        <w:rPr>
          <w:rFonts w:ascii="Times New Roman" w:cs="Times New Roman" w:eastAsia="Times New Roman" w:hAnsi="Times New Roman"/>
          <w:sz w:val="13"/>
          <w:szCs w:val="13"/>
          <w:color w:val="auto"/>
        </w:rPr>
        <w:t>No debt securities in principal amount of $1,000 or less can be redeemed in part. Notices of redemption will be mailed by first-class mail (in case of notes held in book-entry form, by electronic transmission) at least 10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w:t>
      </w:r>
    </w:p>
    <w:p>
      <w:pPr>
        <w:spacing w:after="0" w:line="125"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If any debt security is to be redeemed in part only, the notice of redemption that relates to that debt security will state the portion of the principal amount of that debt security that is to be redeemed. For debt securities issued in certificated form, a new certificate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Unless we default in payment of the redemption price, on and after the redemption date, interest will cease to accrue on the debt securities or portions of the debt securities called for redemption.</w:t>
      </w:r>
    </w:p>
    <w:p>
      <w:pPr>
        <w:spacing w:after="0" w:line="143"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The trustee will not be liable for selections made by it as contemplated in this section. For any debt securities which are represented by global securities held on behalf of DTC, the Euroclear System (“Euroclear”) or Clearstream Banking S.A. (“Clearstream”), notices may be given by delivery of the relevant notices to DTC, Euroclear or Clearstream for communication to entitled account holders in substitution for the aforesaid mailing.</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Reports</w:t>
      </w:r>
    </w:p>
    <w:p>
      <w:pPr>
        <w:spacing w:after="0" w:line="92" w:lineRule="exact"/>
        <w:rPr>
          <w:sz w:val="20"/>
          <w:szCs w:val="20"/>
          <w:color w:val="auto"/>
        </w:rPr>
      </w:pPr>
    </w:p>
    <w:p>
      <w:pPr>
        <w:ind w:left="1380" w:right="359" w:firstLine="341"/>
        <w:spacing w:after="0" w:line="260" w:lineRule="auto"/>
        <w:rPr>
          <w:sz w:val="20"/>
          <w:szCs w:val="20"/>
          <w:color w:val="auto"/>
        </w:rPr>
      </w:pPr>
      <w:r>
        <w:rPr>
          <w:rFonts w:ascii="Times New Roman" w:cs="Times New Roman" w:eastAsia="Times New Roman" w:hAnsi="Times New Roman"/>
          <w:sz w:val="14"/>
          <w:szCs w:val="14"/>
          <w:color w:val="auto"/>
        </w:rPr>
        <w:t>Whether or not required by the rules and regulations of the SEC, so long as any debt securities are outstanding, we shall file with the trustee, within 15 days after we are required to file the same with the SEC, copies of the annual reports and of the information, documents and other reports (or copies of such portions of any of the foregoing as the SEC may from time to time by rules and regulations prescribe) that we would be required to file with the SEC pursuant to Section 13 or Section 15(d) of the Exchange Act.</w:t>
      </w:r>
    </w:p>
    <w:p>
      <w:pPr>
        <w:spacing w:after="0" w:line="140"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We shall be deemed to have complied with the previous sentence to the extent that such information, documents and reports are filed with the SEC via EDGAR or any successor electronic delivery procedure. Delivery of such reports, information and documents to the trustee is for informational purposes only, and the trustee’s receipt of such shall not constitute constructive notice of any information contained therein or determinable from information contained therein, including our compliance with any covenants under the indenture (as to which the trustee is entitled to rely exclusively on officers’ certificates).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4"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Events of Default</w:t>
      </w:r>
    </w:p>
    <w:p>
      <w:pPr>
        <w:spacing w:after="0" w:line="92" w:lineRule="exact"/>
        <w:rPr>
          <w:sz w:val="20"/>
          <w:szCs w:val="20"/>
          <w:color w:val="auto"/>
        </w:rPr>
      </w:pPr>
    </w:p>
    <w:p>
      <w:pPr>
        <w:ind w:left="1380" w:right="759"/>
        <w:spacing w:after="0" w:line="281" w:lineRule="auto"/>
        <w:rPr>
          <w:sz w:val="20"/>
          <w:szCs w:val="20"/>
          <w:color w:val="auto"/>
        </w:rPr>
      </w:pPr>
      <w:r>
        <w:rPr>
          <w:rFonts w:ascii="Times New Roman" w:cs="Times New Roman" w:eastAsia="Times New Roman" w:hAnsi="Times New Roman"/>
          <w:sz w:val="14"/>
          <w:szCs w:val="14"/>
          <w:color w:val="auto"/>
        </w:rPr>
        <w:t>The following will be “Events of Default” with respect to debt securities of a particular series, except to the extent provided in the supplemental indenture, officers’ certificate or resolution of our board of directors pursuant to which a series of debt securities is issued:</w:t>
      </w:r>
    </w:p>
    <w:p>
      <w:pPr>
        <w:spacing w:after="0" w:line="52" w:lineRule="exact"/>
        <w:rPr>
          <w:sz w:val="20"/>
          <w:szCs w:val="20"/>
          <w:color w:val="auto"/>
        </w:rPr>
      </w:pPr>
    </w:p>
    <w:p>
      <w:pPr>
        <w:ind w:left="1700" w:right="559" w:hanging="325"/>
        <w:spacing w:after="0" w:line="281"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paying interest on any of the debt securities of such series when it becomes due and the default continues for a period of 30 days or more;</w:t>
      </w:r>
    </w:p>
    <w:p>
      <w:pPr>
        <w:spacing w:after="0" w:line="52"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paying principal, or premium, if any, on any of the debt securities of such series when due;</w:t>
      </w:r>
    </w:p>
    <w:p>
      <w:pPr>
        <w:spacing w:after="0" w:line="100" w:lineRule="exact"/>
        <w:rPr>
          <w:rFonts w:ascii="Times New Roman" w:cs="Times New Roman" w:eastAsia="Times New Roman" w:hAnsi="Times New Roman"/>
          <w:sz w:val="14"/>
          <w:szCs w:val="14"/>
          <w:color w:val="auto"/>
        </w:rPr>
      </w:pPr>
    </w:p>
    <w:p>
      <w:pPr>
        <w:ind w:left="1700" w:right="499" w:hanging="325"/>
        <w:spacing w:after="0" w:line="281"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sinking or purchase fund or analogous obligation when the same becomes due, and such default continues for 30 days or more;</w:t>
      </w:r>
    </w:p>
    <w:p>
      <w:pPr>
        <w:spacing w:after="0" w:line="52" w:lineRule="exact"/>
        <w:rPr>
          <w:rFonts w:ascii="Times New Roman" w:cs="Times New Roman" w:eastAsia="Times New Roman" w:hAnsi="Times New Roman"/>
          <w:sz w:val="14"/>
          <w:szCs w:val="14"/>
          <w:color w:val="auto"/>
        </w:rPr>
      </w:pPr>
    </w:p>
    <w:p>
      <w:pPr>
        <w:jc w:val="both"/>
        <w:ind w:left="1700" w:right="259" w:hanging="325"/>
        <w:spacing w:after="0" w:line="265"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in the indenture (other than defaults specified above) and the default or breach continues for a period of 90 days or more after we receive written notice from the trustee or we and the trustee receive notice from the holders of at least 25% in aggregate principal amount of the outstanding debt securities of such series;</w:t>
      </w:r>
    </w:p>
    <w:p>
      <w:pPr>
        <w:spacing w:after="0" w:line="63"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reorganization, administration or similar proceedings; or</w:t>
      </w:r>
    </w:p>
    <w:p>
      <w:pPr>
        <w:spacing w:after="0" w:line="100" w:lineRule="exact"/>
        <w:rPr>
          <w:rFonts w:ascii="Times New Roman" w:cs="Times New Roman" w:eastAsia="Times New Roman" w:hAnsi="Times New Roman"/>
          <w:sz w:val="14"/>
          <w:szCs w:val="14"/>
          <w:color w:val="auto"/>
        </w:rPr>
      </w:pPr>
    </w:p>
    <w:p>
      <w:pPr>
        <w:ind w:left="1700" w:right="459" w:hanging="325"/>
        <w:spacing w:after="0" w:line="281"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in the supplemental indenture, officers’ certificate or resolution of our board of directors under which such series of debt securities is issued or in the form of security for such series.</w:t>
      </w:r>
    </w:p>
    <w:p>
      <w:pPr>
        <w:spacing w:after="0" w:line="125"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If an Event of Default (other than an Event of Default specified in the fifth bullet point above) under the indenture occurs with respect to the notes and is continuing, then the trustee or the holders of at least 25% in principal amount of the outstanding debt securities of the affected series may by written notice require us to repay immediately the entire principal amount of the outstanding notes of that series, together with all accrued and unpaid interest and premium, if any.</w:t>
      </w:r>
    </w:p>
    <w:p>
      <w:pPr>
        <w:spacing w:after="0" w:line="140" w:lineRule="exact"/>
        <w:rPr>
          <w:sz w:val="20"/>
          <w:szCs w:val="20"/>
          <w:color w:val="auto"/>
        </w:rPr>
      </w:pPr>
    </w:p>
    <w:p>
      <w:pPr>
        <w:jc w:val="both"/>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If an Event of Default under the indenture specified in the fifth bullet point above occurs and is continuing, then the entire principal amount of the outstanding debt securities of the affected series will automatically become due and payable immediately without any declaration or other act on the part of the trustee or any holder.</w:t>
      </w:r>
    </w:p>
    <w:p>
      <w:pPr>
        <w:spacing w:after="0" w:line="136" w:lineRule="exact"/>
        <w:rPr>
          <w:sz w:val="20"/>
          <w:szCs w:val="20"/>
          <w:color w:val="auto"/>
        </w:rPr>
      </w:pPr>
    </w:p>
    <w:p>
      <w:pPr>
        <w:ind w:left="1380" w:right="239" w:firstLine="341"/>
        <w:spacing w:after="0" w:line="254" w:lineRule="auto"/>
        <w:rPr>
          <w:sz w:val="20"/>
          <w:szCs w:val="20"/>
          <w:color w:val="auto"/>
        </w:rPr>
      </w:pPr>
      <w:r>
        <w:rPr>
          <w:rFonts w:ascii="Times New Roman" w:cs="Times New Roman" w:eastAsia="Times New Roman" w:hAnsi="Times New Roman"/>
          <w:sz w:val="14"/>
          <w:szCs w:val="14"/>
          <w:color w:val="auto"/>
        </w:rPr>
        <w:t>After a declaration of acceleration, the holders of a majority in principal amount of outstanding debt securities of the affected series may rescind this accelerated payment requirement if (i) all existing Events of Default, except for nonpayment of the principal and interest on the debt securities of that series that has become due solely as a result of the accelerated payment requirement, have been cured or waived, (ii) the rescission of acceleration would not conflict with any judgment or decree and (iii) we have paid or deposited with the trustee a sum sufficient to pay all sums paid or advanced by the trustee and the reasonable and duly documented compensation, expenses, disbursements and advances of the trustee, its agents and counsel. The holders of a majority in principal amount of the outstanding debt securities of the affected series also have the right to waive past defaults, except a default in paying principal or interest on any outstanding note of that series, and except in respect of a covenant or a provision that cannot be modified or amended without the consent of all holders of the debt securities of that series.</w:t>
      </w:r>
    </w:p>
    <w:p>
      <w:pPr>
        <w:spacing w:after="0" w:line="144"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Holders of at least 25% in principal amount of the outstanding debt securities of the affected series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notes of that series. These limitations do not apply, however, to a suit instituted by a holder of a note for the enforcement of the payment of principal, interest or any premium on or after the due dates for such payment.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4"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99" w:firstLine="341"/>
        <w:spacing w:after="0" w:line="255" w:lineRule="auto"/>
        <w:rPr>
          <w:sz w:val="20"/>
          <w:szCs w:val="20"/>
          <w:color w:val="auto"/>
        </w:rPr>
      </w:pPr>
      <w:r>
        <w:rPr>
          <w:rFonts w:ascii="Times New Roman" w:cs="Times New Roman" w:eastAsia="Times New Roman" w:hAnsi="Times New Roman"/>
          <w:sz w:val="14"/>
          <w:szCs w:val="14"/>
          <w:color w:val="auto"/>
        </w:rPr>
        <w:t>During the existence of an Event of Default, the trustee is required to exercise the rights and powers vested in it under the indenture and to use the same degree of care and skill in its exercise as a prudent person would use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principal amount of the outstanding debt securities of the affected series have the right to direct the time, method and place of conducting any proceeding for any remedy available to the trustee, or exercising any trust or power conferred on the trustee.</w:t>
      </w:r>
    </w:p>
    <w:p>
      <w:pPr>
        <w:spacing w:after="0" w:line="146" w:lineRule="exact"/>
        <w:rPr>
          <w:sz w:val="20"/>
          <w:szCs w:val="20"/>
          <w:color w:val="auto"/>
        </w:rPr>
      </w:pPr>
    </w:p>
    <w:p>
      <w:pPr>
        <w:ind w:left="1380" w:right="499" w:firstLine="341"/>
        <w:spacing w:after="0" w:line="265" w:lineRule="auto"/>
        <w:rPr>
          <w:sz w:val="20"/>
          <w:szCs w:val="20"/>
          <w:color w:val="auto"/>
        </w:rPr>
      </w:pPr>
      <w:r>
        <w:rPr>
          <w:rFonts w:ascii="Times New Roman" w:cs="Times New Roman" w:eastAsia="Times New Roman" w:hAnsi="Times New Roman"/>
          <w:sz w:val="14"/>
          <w:szCs w:val="14"/>
          <w:color w:val="auto"/>
        </w:rPr>
        <w:t>The trustee will, within 90 days after any default occurs, give notice of the default to the holders of the notes of the affected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w:t>
      </w:r>
    </w:p>
    <w:p>
      <w:pPr>
        <w:spacing w:after="0" w:line="136" w:lineRule="exact"/>
        <w:rPr>
          <w:sz w:val="20"/>
          <w:szCs w:val="20"/>
          <w:color w:val="auto"/>
        </w:rPr>
      </w:pPr>
    </w:p>
    <w:p>
      <w:pPr>
        <w:ind w:left="1380" w:right="319" w:firstLine="341"/>
        <w:spacing w:after="0" w:line="295" w:lineRule="auto"/>
        <w:rPr>
          <w:sz w:val="20"/>
          <w:szCs w:val="20"/>
          <w:color w:val="auto"/>
        </w:rPr>
      </w:pPr>
      <w:r>
        <w:rPr>
          <w:rFonts w:ascii="Times New Roman" w:cs="Times New Roman" w:eastAsia="Times New Roman" w:hAnsi="Times New Roman"/>
          <w:sz w:val="13"/>
          <w:szCs w:val="13"/>
          <w:color w:val="auto"/>
        </w:rPr>
        <w:t>The trustee is not to be charged with knowledge of any Event of Default or knowledge of any cure of any Event of Default unless either (i) an authorized officer or agent of the trustee with direct responsibility for the administration of the indenture has actual knowledge of such Event of Default or (ii) written notice of such Event of Default has been given to such authorized officer of the trustee by the Issuer or any holder of the debt securities.</w:t>
      </w:r>
    </w:p>
    <w:p>
      <w:pPr>
        <w:spacing w:after="0" w:line="20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Covenants</w:t>
      </w:r>
    </w:p>
    <w:p>
      <w:pPr>
        <w:spacing w:after="0" w:line="92" w:lineRule="exact"/>
        <w:rPr>
          <w:sz w:val="20"/>
          <w:szCs w:val="20"/>
          <w:color w:val="auto"/>
        </w:rPr>
      </w:pPr>
    </w:p>
    <w:p>
      <w:pPr>
        <w:ind w:left="1380" w:right="299" w:firstLine="341"/>
        <w:spacing w:after="0" w:line="281" w:lineRule="auto"/>
        <w:rPr>
          <w:sz w:val="20"/>
          <w:szCs w:val="20"/>
          <w:color w:val="auto"/>
        </w:rPr>
      </w:pPr>
      <w:r>
        <w:rPr>
          <w:rFonts w:ascii="Times New Roman" w:cs="Times New Roman" w:eastAsia="Times New Roman" w:hAnsi="Times New Roman"/>
          <w:sz w:val="14"/>
          <w:szCs w:val="14"/>
          <w:color w:val="auto"/>
        </w:rPr>
        <w:t>Although the indentures generally do not contain financial or similar restrictive covenants, unless otherwise specified in the applicable prospectus supplement, the debt securities will contain the additional covenants described below that are not contained in the indentures.</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Repurchase Upon Change of Control Triggering Event</w:t>
      </w:r>
    </w:p>
    <w:p>
      <w:pPr>
        <w:spacing w:after="0" w:line="92" w:lineRule="exact"/>
        <w:rPr>
          <w:sz w:val="20"/>
          <w:szCs w:val="20"/>
          <w:color w:val="auto"/>
        </w:rPr>
      </w:pPr>
    </w:p>
    <w:p>
      <w:pPr>
        <w:ind w:left="1380" w:right="279" w:firstLine="341"/>
        <w:spacing w:after="0" w:line="253" w:lineRule="auto"/>
        <w:rPr>
          <w:sz w:val="20"/>
          <w:szCs w:val="20"/>
          <w:color w:val="auto"/>
        </w:rPr>
      </w:pPr>
      <w:r>
        <w:rPr>
          <w:rFonts w:ascii="Times New Roman" w:cs="Times New Roman" w:eastAsia="Times New Roman" w:hAnsi="Times New Roman"/>
          <w:sz w:val="14"/>
          <w:szCs w:val="14"/>
          <w:color w:val="auto"/>
        </w:rPr>
        <w:t>A change of control requiring us to repurchase all, or part, of the debt securities as described below will be triggered in the event that the debt securities notes cease to be rated equal to or higher than BBB- (or the equivalent) by Fitch Inc. (“Fitch”), Baa3 (or the equivalent) by Moody’s Investors Service, Inc. (“Moody’s”) or BBB- (or the equivalent) by Standard &amp; Poor’s Rating Services (“S&amp;P”), and the equivalent investment grade credit rating from any replacement rating agency or rating agencies selected by us on any date during the 60-day period commencing upon the earlier of (1) the first public announcement of the Change of Control or our intention to effect a Change of Control and (2) the consummation of such Change of Control, which period will be extended following consummation of a Change of Control for so long as the rating of the debt securities is under publicly announced consideration for possible downgrade by any of the rating agencies. Unless at least one rating agency is providing a rating for the notes at the commencement of any such period, the notes will be deemed to have ceased to be rated as described above during such period. Notwithstanding the foregoing, no event triggering a change of control will be deemed to have occurred in connection with any particular Change of Control unless and until such Change of Control has actually been consummated.</w:t>
      </w:r>
    </w:p>
    <w:p>
      <w:pPr>
        <w:spacing w:after="0" w:line="145"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If an event triggering a change of control occurs, unless we have exercised our right to redeem the debt securities of a series pursuant to the terms of such series, we will be required to make an offer to repurchase all or, at the holder’s option, any part (equal to $2,000 or any multiple of $1,000 in excess thereof) of each holder’s debt securities on the terms set forth in the debt securities. In such offer, we will be required to offer payment in cash equal to 101% of the aggregate principal amount of the debt securities repurchased plus accrued and unpaid interest, if any, on the debt securities repurchased, to, but not including, the date of purchase.</w:t>
      </w:r>
    </w:p>
    <w:p>
      <w:pPr>
        <w:spacing w:after="0" w:line="143" w:lineRule="exact"/>
        <w:rPr>
          <w:sz w:val="20"/>
          <w:szCs w:val="20"/>
          <w:color w:val="auto"/>
        </w:rPr>
      </w:pPr>
    </w:p>
    <w:p>
      <w:pPr>
        <w:ind w:left="1380" w:right="319" w:firstLine="341"/>
        <w:spacing w:after="0" w:line="265" w:lineRule="auto"/>
        <w:rPr>
          <w:sz w:val="20"/>
          <w:szCs w:val="20"/>
          <w:color w:val="auto"/>
        </w:rPr>
      </w:pPr>
      <w:r>
        <w:rPr>
          <w:rFonts w:ascii="Times New Roman" w:cs="Times New Roman" w:eastAsia="Times New Roman" w:hAnsi="Times New Roman"/>
          <w:sz w:val="14"/>
          <w:szCs w:val="14"/>
          <w:color w:val="auto"/>
        </w:rPr>
        <w:t>Within 30 days following any event triggering a change of control or, at our option, prior to any change of control, but after public announcement of the transaction that constitutes or may constitute the change of control, a notice will be mailed to holders of the notes (with a copy mailed to the trustee) describing the transaction that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39"/>
        <w:spacing w:after="0" w:line="260" w:lineRule="auto"/>
        <w:rPr>
          <w:sz w:val="20"/>
          <w:szCs w:val="20"/>
          <w:color w:val="auto"/>
        </w:rPr>
      </w:pPr>
      <w:r>
        <w:rPr>
          <w:rFonts w:ascii="Times New Roman" w:cs="Times New Roman" w:eastAsia="Times New Roman" w:hAnsi="Times New Roman"/>
          <w:sz w:val="14"/>
          <w:szCs w:val="14"/>
          <w:color w:val="auto"/>
        </w:rPr>
        <w:t>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On such payment date, we will be required, to the extent lawful, to:</w:t>
      </w:r>
    </w:p>
    <w:p>
      <w:pPr>
        <w:spacing w:after="0" w:line="101" w:lineRule="exact"/>
        <w:rPr>
          <w:sz w:val="20"/>
          <w:szCs w:val="20"/>
          <w:color w:val="auto"/>
        </w:rPr>
      </w:pPr>
    </w:p>
    <w:p>
      <w:pPr>
        <w:ind w:left="1700" w:hanging="325"/>
        <w:spacing w:after="0"/>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debt securities or portions of debt securities properly tendered pursuant to the offer described in the first paragraph above;</w:t>
      </w:r>
    </w:p>
    <w:p>
      <w:pPr>
        <w:spacing w:after="0" w:line="100" w:lineRule="exact"/>
        <w:rPr>
          <w:rFonts w:ascii="Times New Roman" w:cs="Times New Roman" w:eastAsia="Times New Roman" w:hAnsi="Times New Roman"/>
          <w:sz w:val="14"/>
          <w:szCs w:val="14"/>
          <w:color w:val="auto"/>
        </w:rPr>
      </w:pPr>
    </w:p>
    <w:p>
      <w:pPr>
        <w:ind w:left="1700" w:right="279" w:hanging="325"/>
        <w:spacing w:after="0" w:line="281"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required payment in respect of all debt securities or portions of notes debt securities properly tendered; and</w:t>
      </w:r>
    </w:p>
    <w:p>
      <w:pPr>
        <w:spacing w:after="0" w:line="52" w:lineRule="exact"/>
        <w:rPr>
          <w:rFonts w:ascii="Times New Roman" w:cs="Times New Roman" w:eastAsia="Times New Roman" w:hAnsi="Times New Roman"/>
          <w:sz w:val="14"/>
          <w:szCs w:val="14"/>
          <w:color w:val="auto"/>
        </w:rPr>
      </w:pPr>
    </w:p>
    <w:p>
      <w:pPr>
        <w:ind w:left="1700" w:right="659" w:hanging="325"/>
        <w:spacing w:after="0" w:line="281"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debt securities properly accepted together with an officer’s certificate stating the aggregate principal amount of debt securities or portions of debt securities being purchased by us.</w:t>
      </w:r>
    </w:p>
    <w:p>
      <w:pPr>
        <w:spacing w:after="0" w:line="125"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The paying agent will be required to promptly mail to each holder who properly tendered debt securities the purchase price for such debt securities, and the trustee will be required to promptly authenticate and mail (or cause to be transferred by book entry) to each such holder a new debt security equal in principal amount to any unpurchased portion of the debt securities surrendered, if any; provided that each new debt security will be in a principal amount of $2,000 or a multiple of $1,000 in excess thereof.</w:t>
      </w:r>
    </w:p>
    <w:p>
      <w:pPr>
        <w:spacing w:after="0" w:line="140"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We will not be required to make an offer upon an event triggering a change of control if a third party makes such an offer in the manner, at the times and otherwise in compliance with the requirements for an offer made by us and such third party purchases all debt securities properly tendered and not withdrawn under its offer. In the event that such third party terminates or defaults its offer, we will be required to make an offer treating the date of such termination or default as though it were the date of such change of control triggering event.</w:t>
      </w:r>
    </w:p>
    <w:p>
      <w:pPr>
        <w:spacing w:after="0" w:line="140" w:lineRule="exact"/>
        <w:rPr>
          <w:sz w:val="20"/>
          <w:szCs w:val="20"/>
          <w:color w:val="auto"/>
        </w:rPr>
      </w:pPr>
    </w:p>
    <w:p>
      <w:pPr>
        <w:ind w:left="1380" w:right="539" w:firstLine="341"/>
        <w:spacing w:after="0" w:line="281" w:lineRule="auto"/>
        <w:rPr>
          <w:sz w:val="20"/>
          <w:szCs w:val="20"/>
          <w:color w:val="auto"/>
        </w:rPr>
      </w:pPr>
      <w:r>
        <w:rPr>
          <w:rFonts w:ascii="Times New Roman" w:cs="Times New Roman" w:eastAsia="Times New Roman" w:hAnsi="Times New Roman"/>
          <w:sz w:val="14"/>
          <w:szCs w:val="14"/>
          <w:color w:val="auto"/>
        </w:rPr>
        <w:t>In addition, we will not repurchase any debt securities if there has occurred and is continuing on the relevant payment date an event of default under the indenture, other than a default in the payment of the change of control payment upon a change of control triggering event.</w:t>
      </w:r>
    </w:p>
    <w:p>
      <w:pPr>
        <w:spacing w:after="0" w:line="125"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To the extent that we are required to offer to repurchase the debt securities upon the occurrence of a change of control triggering event, we may not have sufficient funds to repurchase the debt securities in cash at such time. In addition, our ability to repurchase the debt securities for cash may be limited by law or the terms of other agreements relating to our indebtedness outstanding at the time. The failure to make such repurchase would result in a default under the debt securities.</w:t>
      </w:r>
    </w:p>
    <w:p>
      <w:pPr>
        <w:spacing w:after="0" w:line="140" w:lineRule="exact"/>
        <w:rPr>
          <w:sz w:val="20"/>
          <w:szCs w:val="20"/>
          <w:color w:val="auto"/>
        </w:rPr>
      </w:pPr>
    </w:p>
    <w:p>
      <w:pPr>
        <w:ind w:left="1380" w:right="339" w:firstLine="341"/>
        <w:spacing w:after="0" w:line="257" w:lineRule="auto"/>
        <w:rPr>
          <w:sz w:val="20"/>
          <w:szCs w:val="20"/>
          <w:color w:val="auto"/>
        </w:rPr>
      </w:pPr>
      <w:r>
        <w:rPr>
          <w:rFonts w:ascii="Times New Roman" w:cs="Times New Roman" w:eastAsia="Times New Roman" w:hAnsi="Times New Roman"/>
          <w:sz w:val="14"/>
          <w:szCs w:val="14"/>
          <w:color w:val="auto"/>
        </w:rPr>
        <w:t>We will comply with the requirements of Rule 14e-1 under the Exchange Act, and any other securities laws and regulations thereunder to the extent those laws and regulations are applicable in connection with the repurchase of the debt securities as a result of a change of control triggering event. To the extent that the provision of any such securities laws or regulations conflicts with the offer provisions in respect of a change of control of the debt securities, we will comply with those securities laws and regulations and will not be deemed to have breached our obligations under such offer provisions by virtue of any such conflict.</w:t>
      </w:r>
    </w:p>
    <w:p>
      <w:pPr>
        <w:spacing w:after="0" w:line="143"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lease,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our assets and those of our subsidiaries, taken as a whole, to another person or group may be uncertain. In such case, holders of the notes may not be able to resolve this uncertainty without resorting to legal action.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For purposes of the foregoing, the following term will be applicable:</w:t>
      </w:r>
    </w:p>
    <w:p>
      <w:pPr>
        <w:spacing w:after="0" w:line="172" w:lineRule="exact"/>
        <w:rPr>
          <w:sz w:val="20"/>
          <w:szCs w:val="20"/>
          <w:color w:val="auto"/>
        </w:rPr>
      </w:pPr>
    </w:p>
    <w:p>
      <w:pPr>
        <w:ind w:left="1380" w:right="239"/>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w:t>
      </w:r>
      <w:r>
        <w:rPr>
          <w:rFonts w:ascii="Times New Roman" w:cs="Times New Roman" w:eastAsia="Times New Roman" w:hAnsi="Times New Roman"/>
          <w:sz w:val="14"/>
          <w:szCs w:val="14"/>
          <w:color w:val="auto"/>
        </w:rPr>
        <w:t>” means the occurrence of any one of the following: (1) the direct or indirect sale, lease, transfer, conveyance or other disposition (other than by way of merger, amalgamation, arrangement or consolidation), in one or a series of related transactions, of all or substantially all of our properties or assets and those of our subsidiaries, taken as a whole, to one or more persons, other than to us or one of our subsidiaries; (2) the first day on which a majority of the members of our board of directors is not composed of directors who (a) were members of our board of directors on the issue date or (b) were nominated for election, elected or appointed to our board of directors with the approval of a majority of the directors who were members of our board of directors at the time of such nomination, election or appointment (either by a specific vote or by approval by such directors of our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our voting stock; (4) we consolidate with, or merge with or into, any person, or 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(5) the adoption of a plan relating to our liquidation or dissolution (other than our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w:t>
      </w:r>
    </w:p>
    <w:p>
      <w:pPr>
        <w:spacing w:after="0" w:line="3" w:lineRule="exact"/>
        <w:rPr>
          <w:sz w:val="20"/>
          <w:szCs w:val="20"/>
          <w:color w:val="auto"/>
        </w:rPr>
      </w:pPr>
    </w:p>
    <w:p>
      <w:pPr>
        <w:ind w:left="1380" w:right="279"/>
        <w:spacing w:after="0" w:line="251" w:lineRule="auto"/>
        <w:rPr>
          <w:sz w:val="20"/>
          <w:szCs w:val="20"/>
          <w:color w:val="auto"/>
        </w:rPr>
      </w:pPr>
      <w:r>
        <w:rPr>
          <w:rFonts w:ascii="Times New Roman" w:cs="Times New Roman" w:eastAsia="Times New Roman" w:hAnsi="Times New Roman"/>
          <w:sz w:val="14"/>
          <w:szCs w:val="14"/>
          <w:color w:val="auto"/>
        </w:rPr>
        <w:t>(2)(A)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Exchange Act.</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Other Covenants</w:t>
      </w:r>
    </w:p>
    <w:p>
      <w:pPr>
        <w:spacing w:after="0" w:line="92" w:lineRule="exact"/>
        <w:rPr>
          <w:sz w:val="20"/>
          <w:szCs w:val="20"/>
          <w:color w:val="auto"/>
        </w:rPr>
      </w:pPr>
    </w:p>
    <w:p>
      <w:pPr>
        <w:jc w:val="both"/>
        <w:ind w:left="1380" w:right="739" w:firstLine="341"/>
        <w:spacing w:after="0" w:line="265" w:lineRule="auto"/>
        <w:rPr>
          <w:sz w:val="20"/>
          <w:szCs w:val="20"/>
          <w:color w:val="auto"/>
        </w:rPr>
      </w:pPr>
      <w:r>
        <w:rPr>
          <w:rFonts w:ascii="Times New Roman" w:cs="Times New Roman" w:eastAsia="Times New Roman" w:hAnsi="Times New Roman"/>
          <w:sz w:val="14"/>
          <w:szCs w:val="14"/>
          <w:color w:val="auto"/>
        </w:rPr>
        <w:t>Unless we indicate otherwise in the applicable prospectus supplement, the debt securities will not contain any financial covenants or other restrictive provisions designed to protect holders of the debt securities in the event of a highly leveraged transaction. The indentures contain the following covenants: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Liens</w:t>
      </w:r>
    </w:p>
    <w:p>
      <w:pPr>
        <w:spacing w:after="0" w:line="92"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We will not, and we will not permit any of our restricted subsidiaries to, incur, suffer to exist or guarantee any debt secured by a lien on any principal property or on any shares of stock of (or other interests in) any of our restricted subsidiaries unless we or such restricted subsidiary secures or we cause such restricted subsidiary to secure the debt securities (and any of its or such restricted subsidiary’s other debt, at its option or such restricted subsidiary’s option, as the case may be, not subordinate to the debt securities), equally and ratably with (or prior to) such secured debt, for as long as such secured debt will be so secured.</w:t>
      </w:r>
    </w:p>
    <w:p>
      <w:pPr>
        <w:spacing w:after="0" w:line="1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These restrictions will not, however, apply to debt secured by:</w:t>
      </w:r>
    </w:p>
    <w:p>
      <w:pPr>
        <w:spacing w:after="0" w:line="101" w:lineRule="exact"/>
        <w:rPr>
          <w:sz w:val="20"/>
          <w:szCs w:val="20"/>
          <w:color w:val="auto"/>
        </w:rPr>
      </w:pPr>
    </w:p>
    <w:p>
      <w:pPr>
        <w:ind w:left="1700" w:hanging="325"/>
        <w:spacing w:after="0"/>
        <w:tabs>
          <w:tab w:leader="none" w:pos="1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liens existing prior to the issuance of the debt securities;</w:t>
      </w:r>
    </w:p>
    <w:p>
      <w:pPr>
        <w:spacing w:after="0" w:line="100" w:lineRule="exact"/>
        <w:rPr>
          <w:rFonts w:ascii="Times New Roman" w:cs="Times New Roman" w:eastAsia="Times New Roman" w:hAnsi="Times New Roman"/>
          <w:sz w:val="14"/>
          <w:szCs w:val="14"/>
          <w:color w:val="auto"/>
        </w:rPr>
      </w:pPr>
    </w:p>
    <w:p>
      <w:pPr>
        <w:ind w:left="1700" w:right="719" w:hanging="325"/>
        <w:spacing w:after="0" w:line="281" w:lineRule="auto"/>
        <w:tabs>
          <w:tab w:leader="none" w:pos="1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on property of or shares of stock of (or other interests in) or debt of any entity existing at the time such entity becomes a restricted subsidiary;</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4"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right="259" w:hanging="325"/>
        <w:spacing w:after="0" w:line="255" w:lineRule="auto"/>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liens on property, shares of stock (or other interests in) or debt of any entity (i) existing at the time of acquisition of such property or shares (or other interests) (including acquisition through merger or consolidation), (ii) to secure the payment of all or any part of the purchase price of such property or shares (or other interests) or the costs of construction or improvement of such property or (iii) to secure any debt incurred prior to, at the time of, or within 180 days after the later of the acquisition, the completion of construction or the commencement of full operation of such property or within 180 days after the acquisition of such shares (or other interests) for the purpose of financing all or any part of the purchase price of such property or shares (or other interests) or the costs of construction thereon;</w:t>
      </w:r>
    </w:p>
    <w:p>
      <w:pPr>
        <w:spacing w:after="0" w:line="72"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liens in favor of us or any of our restricted subsidiaries;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liens in favor of, or required by contracts with, governmental entities; or</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renewal, or refunding of liens referred to in any of the preceding clauses.</w:t>
      </w:r>
    </w:p>
    <w:p>
      <w:pPr>
        <w:spacing w:after="0" w:line="174" w:lineRule="exact"/>
        <w:rPr>
          <w:sz w:val="20"/>
          <w:szCs w:val="20"/>
          <w:color w:val="auto"/>
        </w:rPr>
      </w:pPr>
    </w:p>
    <w:p>
      <w:pPr>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Notwithstanding the foregoing, we or any of our restricted subsidiaries may incur, suffer to exist or guarantee any debt secured by a lien on any principal property or on any shares of stock of (or other interests in) any of our restricted subsidiaries if, after giving effect thereto and together with the value of attributable debt outstanding pursuant to the second paragraph of the “—Limitation on Sale and Lease-Back Transactions” covenant below, the aggregate amount of such debt does not exceed 15% of our consolidated net tangible assets.</w:t>
      </w:r>
    </w:p>
    <w:p>
      <w:pPr>
        <w:spacing w:after="0" w:line="140"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The indenture does not restrict the transfer by us of a principal property to any of our unrestricted subsidiaries or our ability to change the designation of a subsidiary owning principal property from a restricted subsidiary to an unrestricted subsidiary and, if we were to do so, any such unrestricted subsidiary would not be restricted from incurring secured debt nor would we be required, upon such incurrence, to secure the debt securities equally and ratably with such secured debt.</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 and Lease-Back Transactions</w:t>
      </w:r>
    </w:p>
    <w:p>
      <w:pPr>
        <w:spacing w:after="0" w:line="92" w:lineRule="exact"/>
        <w:rPr>
          <w:sz w:val="20"/>
          <w:szCs w:val="20"/>
          <w:color w:val="auto"/>
        </w:rPr>
      </w:pPr>
    </w:p>
    <w:p>
      <w:pPr>
        <w:ind w:left="1380" w:right="279" w:firstLine="341"/>
        <w:spacing w:after="0" w:line="252" w:lineRule="auto"/>
        <w:rPr>
          <w:sz w:val="20"/>
          <w:szCs w:val="20"/>
          <w:color w:val="auto"/>
        </w:rPr>
      </w:pPr>
      <w:r>
        <w:rPr>
          <w:rFonts w:ascii="Times New Roman" w:cs="Times New Roman" w:eastAsia="Times New Roman" w:hAnsi="Times New Roman"/>
          <w:sz w:val="14"/>
          <w:szCs w:val="14"/>
          <w:color w:val="auto"/>
        </w:rPr>
        <w:t>We will not enter into any sale and lease-back transaction with respect to any principal property, other than any such sale and lease-back transaction involving a lease for a term of not more than three years or any such sale and lease-back transaction between us and one of our restricted subsidiaries or between our restricted subsidiaries, unless: (i) we or such restricted subsidiary would be entitled to incur debt secured by a lien on the principal property involved in such sale and lease-back transaction at least equal in amount to the attributable debt with respect to such sale and lease-back transaction, without equally and ratably securing the debt securities, pursuant to the covenant described above under the caption “—Limitation on Liens”; or (ii) the proceeds of such sale and lease-back transaction are at least equal to the fair market value of the affected principal property (as determined in good faith by our board of directors) and we apply an amount equal to the net proceeds of such sale and lease-back transaction within 180 days of such sale and lease-back transaction to any (or a combination) of (a) the prepayment or retirement of the debt securities, (b) the prepayment or retirement (other than any mandatory retirement, mandatory prepayment or sinking fund payment or by payment at maturity) of other debt of us or of one of our restricted subsidiaries (other than debt that is subordinated to the debt securities or debt owed to us or one of our restricted subsidiaries) that matures more than 12 months after its creation or matures less than 12 months after its creation but by its terms being renewable or extendible, at the option of the obligor in respect thereof, beyond 12 months from its creation or (c) the purchase, construction, development, expansion or improvement of other comparable property.</w:t>
      </w:r>
    </w:p>
    <w:p>
      <w:pPr>
        <w:spacing w:after="0" w:line="147"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Notwithstanding the restrictions in the preceding paragraph, we will be permitted to enter into sale and lease-back transactions otherwise prohibited by this covenant, the attributable debt with respect to which, together with all debt outstanding pursuant to the third paragraph of the “— Limitation on Liens” covenant above, without duplication, do not exceed 15% of consolidated net tangible assets measured at the closing date of the sale and lease-back transaction.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4"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firstLine="341"/>
        <w:spacing w:after="0" w:line="281" w:lineRule="auto"/>
        <w:rPr>
          <w:sz w:val="20"/>
          <w:szCs w:val="20"/>
          <w:color w:val="auto"/>
        </w:rPr>
      </w:pPr>
      <w:r>
        <w:rPr>
          <w:rFonts w:ascii="Times New Roman" w:cs="Times New Roman" w:eastAsia="Times New Roman" w:hAnsi="Times New Roman"/>
          <w:sz w:val="14"/>
          <w:szCs w:val="14"/>
          <w:color w:val="auto"/>
        </w:rPr>
        <w:t>The following are definitions of some terms used in the above description. We refer you to the indenture for a full description of all of these terms, as well as any other terms used herein for which no definition is provided.</w:t>
      </w:r>
    </w:p>
    <w:p>
      <w:pPr>
        <w:spacing w:after="0" w:line="123" w:lineRule="exact"/>
        <w:rPr>
          <w:sz w:val="20"/>
          <w:szCs w:val="20"/>
          <w:color w:val="auto"/>
        </w:rPr>
      </w:pPr>
    </w:p>
    <w:p>
      <w:pPr>
        <w:ind w:left="1380" w:right="25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attributable debt</w:t>
      </w:r>
      <w:r>
        <w:rPr>
          <w:rFonts w:ascii="Times New Roman" w:cs="Times New Roman" w:eastAsia="Times New Roman" w:hAnsi="Times New Roman"/>
          <w:sz w:val="14"/>
          <w:szCs w:val="14"/>
          <w:color w:val="auto"/>
        </w:rPr>
        <w:t>” with regard to a sale and lease-back transaction with respect to any principal property means, at the time of determination, the present value of the total net amount of rent required to be paid under such lease 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notes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net tangible assets</w:t>
      </w:r>
      <w:r>
        <w:rPr>
          <w:rFonts w:ascii="Times New Roman" w:cs="Times New Roman" w:eastAsia="Times New Roman" w:hAnsi="Times New Roman"/>
          <w:sz w:val="14"/>
          <w:szCs w:val="14"/>
          <w:color w:val="auto"/>
        </w:rPr>
        <w:t>” means the total amount of our assets and our restricted subsidiaries’ assets minus:</w:t>
      </w:r>
    </w:p>
    <w:p>
      <w:pPr>
        <w:spacing w:after="0" w:line="103" w:lineRule="exact"/>
        <w:rPr>
          <w:sz w:val="20"/>
          <w:szCs w:val="20"/>
          <w:color w:val="auto"/>
        </w:rPr>
      </w:pPr>
    </w:p>
    <w:p>
      <w:pPr>
        <w:ind w:left="1700" w:hanging="325"/>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applicable depreciation, amortization and other valuation reserves;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liabilities of ours and our restricted subsidiaries (excluding any intercompany liabilities); and</w:t>
      </w:r>
    </w:p>
    <w:p>
      <w:pPr>
        <w:spacing w:after="0" w:line="100" w:lineRule="exact"/>
        <w:rPr>
          <w:rFonts w:ascii="Times New Roman" w:cs="Times New Roman" w:eastAsia="Times New Roman" w:hAnsi="Times New Roman"/>
          <w:sz w:val="14"/>
          <w:szCs w:val="14"/>
          <w:color w:val="auto"/>
        </w:rPr>
      </w:pPr>
    </w:p>
    <w:p>
      <w:pPr>
        <w:ind w:left="1700" w:right="399" w:hanging="325"/>
        <w:spacing w:after="0" w:line="281" w:lineRule="auto"/>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goodwill, trade names, trademarks, patents, unamortized debt discount and expenses and other like intangibles, all as set forth on our and our restricted subsidiaries’ latest consolidated balance sheets prepared in accordance with U.S. GAAP.</w:t>
      </w:r>
    </w:p>
    <w:p>
      <w:pPr>
        <w:spacing w:after="0" w:line="1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means any indebtedness for borrowed money.</w:t>
      </w:r>
    </w:p>
    <w:p>
      <w:pPr>
        <w:spacing w:after="0" w:line="174" w:lineRule="exact"/>
        <w:rPr>
          <w:sz w:val="20"/>
          <w:szCs w:val="20"/>
          <w:color w:val="auto"/>
        </w:rPr>
      </w:pPr>
    </w:p>
    <w:p>
      <w:pPr>
        <w:ind w:left="1380" w:right="43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property</w:t>
      </w:r>
      <w:r>
        <w:rPr>
          <w:rFonts w:ascii="Times New Roman" w:cs="Times New Roman" w:eastAsia="Times New Roman" w:hAnsi="Times New Roman"/>
          <w:sz w:val="14"/>
          <w:szCs w:val="14"/>
          <w:color w:val="auto"/>
        </w:rPr>
        <w:t>” means any single manufacturing or processing plant, office building or warehouse owned or leased by us or any of our restricted subsidiaries which has a gross book value in excess of 2% of our consolidated net tangible assets other than a plant, warehouse, office building or portion thereof which, in the opinion of our Board of Directors, is not of material importance to the business conducted by the Company and its restricted subsidiaries as an entirety.</w:t>
      </w:r>
    </w:p>
    <w:p>
      <w:pPr>
        <w:spacing w:after="0" w:line="1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restricted subsidiary</w:t>
      </w:r>
      <w:r>
        <w:rPr>
          <w:rFonts w:ascii="Times New Roman" w:cs="Times New Roman" w:eastAsia="Times New Roman" w:hAnsi="Times New Roman"/>
          <w:sz w:val="14"/>
          <w:szCs w:val="14"/>
          <w:color w:val="auto"/>
        </w:rPr>
        <w:t>” means, at any time, any subsidiary which at the time is not an unrestricted subsidiary of ours.</w:t>
      </w:r>
    </w:p>
    <w:p>
      <w:pPr>
        <w:spacing w:after="0" w:line="174" w:lineRule="exact"/>
        <w:rPr>
          <w:sz w:val="20"/>
          <w:szCs w:val="20"/>
          <w:color w:val="auto"/>
        </w:rPr>
      </w:pPr>
    </w:p>
    <w:p>
      <w:pPr>
        <w:ind w:left="1380" w:right="359"/>
        <w:spacing w:after="0" w:line="28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means any entity, at least a majority of the outstanding voting stock of which shall at the time be owned, directly or indirectly, by us or by one or more of our subsidiaries, or both.</w:t>
      </w:r>
    </w:p>
    <w:p>
      <w:pPr>
        <w:spacing w:after="0" w:line="121" w:lineRule="exact"/>
        <w:rPr>
          <w:sz w:val="20"/>
          <w:szCs w:val="20"/>
          <w:color w:val="auto"/>
        </w:rPr>
      </w:pPr>
    </w:p>
    <w:p>
      <w:pPr>
        <w:ind w:left="1380" w:right="25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unrestricted subsidiary</w:t>
      </w:r>
      <w:r>
        <w:rPr>
          <w:rFonts w:ascii="Times New Roman" w:cs="Times New Roman" w:eastAsia="Times New Roman" w:hAnsi="Times New Roman"/>
          <w:sz w:val="14"/>
          <w:szCs w:val="14"/>
          <w:color w:val="auto"/>
        </w:rPr>
        <w:t>” means any subsidiary of ours (not at the time designated as our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our Board of Directors and which, in the opinion of our Board of Directors, is not of material importance to the business conducted by the Company and its restricted subsidiaries as an entity.</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Consolidation, Merger or Sale of Assets</w:t>
      </w:r>
    </w:p>
    <w:p>
      <w:pPr>
        <w:spacing w:after="0" w:line="92" w:lineRule="exact"/>
        <w:rPr>
          <w:sz w:val="20"/>
          <w:szCs w:val="20"/>
          <w:color w:val="auto"/>
        </w:rPr>
      </w:pPr>
    </w:p>
    <w:p>
      <w:pPr>
        <w:ind w:left="1380" w:right="319" w:firstLine="341"/>
        <w:spacing w:after="0" w:line="281" w:lineRule="auto"/>
        <w:rPr>
          <w:sz w:val="20"/>
          <w:szCs w:val="20"/>
          <w:color w:val="auto"/>
        </w:rPr>
      </w:pPr>
      <w:r>
        <w:rPr>
          <w:rFonts w:ascii="Times New Roman" w:cs="Times New Roman" w:eastAsia="Times New Roman" w:hAnsi="Times New Roman"/>
          <w:sz w:val="14"/>
          <w:szCs w:val="14"/>
          <w:color w:val="auto"/>
        </w:rPr>
        <w:t>We may consolidate or merge with or into, or convey or transfer all or substantially all of our assets to, any entity (including, without limitation, a limited partnership or a limited liability company); provided that:</w:t>
      </w:r>
    </w:p>
    <w:p>
      <w:pPr>
        <w:spacing w:after="0" w:line="52" w:lineRule="exact"/>
        <w:rPr>
          <w:sz w:val="20"/>
          <w:szCs w:val="20"/>
          <w:color w:val="auto"/>
        </w:rPr>
      </w:pPr>
    </w:p>
    <w:p>
      <w:pPr>
        <w:jc w:val="both"/>
        <w:ind w:left="1700" w:right="299" w:hanging="325"/>
        <w:spacing w:after="0" w:line="265" w:lineRule="auto"/>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the surviving corporation or, if not, that the successor will be a corporation that is organized and validly existing under the laws of any state of the United States of America or the District of Columbia and will expressly assume by a supplemental indenture our obligations under the indenture and the debt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4"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right="359" w:hanging="325"/>
        <w:spacing w:after="0" w:line="281"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event of default, and no default or other event which, after notice or lapse of time, or both, would become an event of default, will have happened and be continuing; and</w:t>
      </w:r>
    </w:p>
    <w:p>
      <w:pPr>
        <w:spacing w:after="0" w:line="52" w:lineRule="exact"/>
        <w:rPr>
          <w:rFonts w:ascii="Times New Roman" w:cs="Times New Roman" w:eastAsia="Times New Roman" w:hAnsi="Times New Roman"/>
          <w:sz w:val="14"/>
          <w:szCs w:val="14"/>
          <w:color w:val="auto"/>
        </w:rPr>
      </w:pPr>
    </w:p>
    <w:p>
      <w:pPr>
        <w:ind w:left="1700" w:right="319" w:hanging="325"/>
        <w:spacing w:after="0" w:line="281"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have delivered to the trustee an opinion of counsel, stating that such consolidation, merger, conveyance or transfer and such supplemental indenture, if any, complies with the indenture.</w:t>
      </w:r>
    </w:p>
    <w:p>
      <w:pPr>
        <w:spacing w:after="0" w:line="125" w:lineRule="exact"/>
        <w:rPr>
          <w:sz w:val="20"/>
          <w:szCs w:val="20"/>
          <w:color w:val="auto"/>
        </w:rPr>
      </w:pPr>
    </w:p>
    <w:p>
      <w:pPr>
        <w:ind w:left="1380" w:right="619" w:firstLine="341"/>
        <w:spacing w:after="0" w:line="281" w:lineRule="auto"/>
        <w:rPr>
          <w:sz w:val="20"/>
          <w:szCs w:val="20"/>
          <w:color w:val="auto"/>
        </w:rPr>
      </w:pPr>
      <w:r>
        <w:rPr>
          <w:rFonts w:ascii="Times New Roman" w:cs="Times New Roman" w:eastAsia="Times New Roman" w:hAnsi="Times New Roman"/>
          <w:sz w:val="14"/>
          <w:szCs w:val="14"/>
          <w:color w:val="auto"/>
        </w:rPr>
        <w:t>In the event of any such consolidation, merger, conveyance, transfer or lease, any such successor will succeed to and be substituted for us as obligor on the notes with the same effect as if it had been named in the indenture as obligor.</w:t>
      </w:r>
    </w:p>
    <w:p>
      <w:pPr>
        <w:spacing w:after="0" w:line="125" w:lineRule="exact"/>
        <w:rPr>
          <w:sz w:val="20"/>
          <w:szCs w:val="20"/>
          <w:color w:val="auto"/>
        </w:rPr>
      </w:pPr>
    </w:p>
    <w:p>
      <w:pPr>
        <w:ind w:left="1380" w:right="779" w:firstLine="341"/>
        <w:spacing w:after="0" w:line="281" w:lineRule="auto"/>
        <w:rPr>
          <w:sz w:val="20"/>
          <w:szCs w:val="20"/>
          <w:color w:val="auto"/>
        </w:rPr>
      </w:pPr>
      <w:r>
        <w:rPr>
          <w:rFonts w:ascii="Times New Roman" w:cs="Times New Roman" w:eastAsia="Times New Roman" w:hAnsi="Times New Roman"/>
          <w:sz w:val="14"/>
          <w:szCs w:val="14"/>
          <w:color w:val="auto"/>
        </w:rPr>
        <w:t>The trustee will be entitled to conclusively rely on and will accept such opinion as sufficient evidence of the satisfaction of the conditions precedent set forth in the third clause above, in which event it shall be conclusive and binding on the holders of the debt securities.</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Modification and Waiver</w:t>
      </w:r>
    </w:p>
    <w:p>
      <w:pPr>
        <w:spacing w:after="0" w:line="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indenture may be amended or modified without the consent of any holder of the debt securities of any series in order to:</w:t>
      </w:r>
    </w:p>
    <w:p>
      <w:pPr>
        <w:spacing w:after="0" w:line="101" w:lineRule="exact"/>
        <w:rPr>
          <w:sz w:val="20"/>
          <w:szCs w:val="20"/>
          <w:color w:val="auto"/>
        </w:rPr>
      </w:pPr>
    </w:p>
    <w:p>
      <w:pPr>
        <w:ind w:left="1700" w:hanging="325"/>
        <w:spacing w:after="0"/>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 succession to the trustee;</w:t>
      </w:r>
    </w:p>
    <w:p>
      <w:pPr>
        <w:spacing w:after="0" w:line="100" w:lineRule="exact"/>
        <w:rPr>
          <w:rFonts w:ascii="Times New Roman" w:cs="Times New Roman" w:eastAsia="Times New Roman" w:hAnsi="Times New Roman"/>
          <w:sz w:val="14"/>
          <w:szCs w:val="14"/>
          <w:color w:val="auto"/>
        </w:rPr>
      </w:pPr>
    </w:p>
    <w:p>
      <w:pPr>
        <w:ind w:left="1700" w:right="499" w:hanging="325"/>
        <w:spacing w:after="0" w:line="281" w:lineRule="auto"/>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ambiguities, defects or inconsistencies or make any other change that does not adversely affect in any material respect the interests of any holder;</w:t>
      </w:r>
    </w:p>
    <w:p>
      <w:pPr>
        <w:spacing w:after="0" w:line="52"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assumption of our obligations in the case of a merger or consolidation or transfer of all or substantially all of our assets;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would provide any additional rights or benefits to the holders of the debt securities of any series;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guarantors with respect to the debt securities of any series;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the debt securities of any series;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 or forms of the debt securities of any series; or</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 qualification of the indenture under the Trust Indenture Act.</w:t>
      </w:r>
    </w:p>
    <w:p>
      <w:pPr>
        <w:spacing w:after="0" w:line="174" w:lineRule="exact"/>
        <w:rPr>
          <w:sz w:val="20"/>
          <w:szCs w:val="20"/>
          <w:color w:val="auto"/>
        </w:rPr>
      </w:pPr>
    </w:p>
    <w:p>
      <w:pPr>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Other amendments to and modifications of the indenture or the debt securities of any series issued may be made with the consent of the holders of not less than a majority of the aggregate principal amount of the outstanding series affected by the amendment or modification. However, no modification or amendment may, without the consent of the holder of each affected outstanding debt security:</w:t>
      </w:r>
    </w:p>
    <w:p>
      <w:pPr>
        <w:spacing w:after="0" w:line="63" w:lineRule="exact"/>
        <w:rPr>
          <w:sz w:val="20"/>
          <w:szCs w:val="20"/>
          <w:color w:val="auto"/>
        </w:rPr>
      </w:pPr>
    </w:p>
    <w:p>
      <w:pPr>
        <w:ind w:left="1700" w:hanging="325"/>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or extend the fixed maturity, of the debt securities of any series;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or waive the redemption provisions of the debt securities of any series;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currency in which principal, any premium or interest is paid;</w:t>
      </w:r>
    </w:p>
    <w:p>
      <w:pPr>
        <w:spacing w:after="0" w:line="100" w:lineRule="exact"/>
        <w:rPr>
          <w:rFonts w:ascii="Times New Roman" w:cs="Times New Roman" w:eastAsia="Times New Roman" w:hAnsi="Times New Roman"/>
          <w:sz w:val="14"/>
          <w:szCs w:val="14"/>
          <w:color w:val="auto"/>
        </w:rPr>
      </w:pPr>
    </w:p>
    <w:p>
      <w:pPr>
        <w:ind w:left="1700" w:right="479" w:hanging="325"/>
        <w:spacing w:after="0" w:line="281"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outstanding of the debt securities of any series which must consent to an amendment, supplement or waiver or consent to take any action;</w:t>
      </w:r>
    </w:p>
    <w:p>
      <w:pPr>
        <w:spacing w:after="0" w:line="52"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the debt securities of any series;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payment default with respect to the debt securities of any series;</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interest rate or extend the time for payment of interest on the debt securities of any series; or</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the ranking of the debt securities of any series.</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Information Concerning the Trustee</w:t>
      </w:r>
    </w:p>
    <w:p>
      <w:pPr>
        <w:spacing w:after="0" w:line="92" w:lineRule="exact"/>
        <w:rPr>
          <w:sz w:val="20"/>
          <w:szCs w:val="20"/>
          <w:color w:val="auto"/>
        </w:rPr>
      </w:pPr>
    </w:p>
    <w:p>
      <w:pPr>
        <w:jc w:val="both"/>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reasonable security or indemnity against the costs, expenses and liabilities which might be incurred by it in compliance with such request or direction.</w:t>
      </w:r>
    </w:p>
    <w:p>
      <w:pPr>
        <w:spacing w:after="0" w:line="140"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If the trustee becomes a creditor of ours,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Paying Agent and Security Registrar</w:t>
      </w:r>
    </w:p>
    <w:p>
      <w:pPr>
        <w:spacing w:after="0" w:line="92" w:lineRule="exact"/>
        <w:rPr>
          <w:sz w:val="20"/>
          <w:szCs w:val="20"/>
          <w:color w:val="auto"/>
        </w:rPr>
      </w:pPr>
    </w:p>
    <w:p>
      <w:pPr>
        <w:jc w:val="both"/>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We will maintain one or more paying agents (each, a “Paying Agent”) for any debt securities we issue in New York, New York. We, upon written notice to the trustee accompanied by an officers’ certificate, may appoint one or more Paying Agents, other than the trustee, for all or any series of such debt securities. If we fail to appoint or maintain another entity as Paying Agent, the trustee shall act as such. We or any of our subsidiaries, upon notice to the trustee, may act as Paying Agent.</w:t>
      </w:r>
    </w:p>
    <w:p>
      <w:pPr>
        <w:spacing w:after="0" w:line="140" w:lineRule="exact"/>
        <w:rPr>
          <w:sz w:val="20"/>
          <w:szCs w:val="20"/>
          <w:color w:val="auto"/>
        </w:rPr>
      </w:pPr>
    </w:p>
    <w:p>
      <w:pPr>
        <w:jc w:val="both"/>
        <w:ind w:left="1380" w:right="579" w:firstLine="341"/>
        <w:spacing w:after="0" w:line="260" w:lineRule="auto"/>
        <w:rPr>
          <w:sz w:val="20"/>
          <w:szCs w:val="20"/>
          <w:color w:val="auto"/>
        </w:rPr>
      </w:pPr>
      <w:r>
        <w:rPr>
          <w:rFonts w:ascii="Times New Roman" w:cs="Times New Roman" w:eastAsia="Times New Roman" w:hAnsi="Times New Roman"/>
          <w:sz w:val="14"/>
          <w:szCs w:val="14"/>
          <w:color w:val="auto"/>
        </w:rPr>
        <w:t>We will also maintain one or more security registrars (each, a “Security Registrar”) with an office in New York, New York. We, upon written notice to the trustee accompanied by an officers’ certificate, may appoint one or more registrars, other than the trustee, for all or any series of debt securities. If we fail to appoint or maintain another entity as registrar, the trustee shall act as such. We or any of our subsidiaries, upon notice to the trustee, may act as registrar.</w:t>
      </w:r>
    </w:p>
    <w:p>
      <w:pPr>
        <w:spacing w:after="0" w:line="140" w:lineRule="exact"/>
        <w:rPr>
          <w:sz w:val="20"/>
          <w:szCs w:val="20"/>
          <w:color w:val="auto"/>
        </w:rPr>
      </w:pPr>
    </w:p>
    <w:p>
      <w:pPr>
        <w:ind w:left="1380" w:right="319" w:firstLine="341"/>
        <w:spacing w:after="0" w:line="265" w:lineRule="auto"/>
        <w:rPr>
          <w:sz w:val="20"/>
          <w:szCs w:val="20"/>
          <w:color w:val="auto"/>
        </w:rPr>
      </w:pPr>
      <w:r>
        <w:rPr>
          <w:rFonts w:ascii="Times New Roman" w:cs="Times New Roman" w:eastAsia="Times New Roman" w:hAnsi="Times New Roman"/>
          <w:sz w:val="14"/>
          <w:szCs w:val="14"/>
          <w:color w:val="auto"/>
        </w:rPr>
        <w:t>The Security Registrar will maintain a register reflecting ownership of debt securities outstanding from time to time, and the Paying Agents will make payments on and facilitate transfer of debt securities on our behalf. We may change any Paying Agents or Security Registrars without prior notice to the holders of debt securities.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92"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The indenture and any debt securities issued thereunder shall be deemed to be a contract made under the internal laws of the State of New York, and for all purposes shall be construed in accordance with the laws of the State of New York without regard to conflicts of laws principles that would require the application of any other law. The indenture is subject to the provisions of the Trust Indenture Act that are required to be part of the indenture and shall, to the extent applicable, be governed by such provisions.</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Satisfaction, Discharge and Defeasance</w:t>
      </w:r>
    </w:p>
    <w:p>
      <w:pPr>
        <w:spacing w:after="0" w:line="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We may terminate our obligations with respect to the debt securities of any series under the indenture when:</w:t>
      </w:r>
    </w:p>
    <w:p>
      <w:pPr>
        <w:spacing w:after="0" w:line="101" w:lineRule="exact"/>
        <w:rPr>
          <w:sz w:val="20"/>
          <w:szCs w:val="20"/>
          <w:color w:val="auto"/>
        </w:rPr>
      </w:pPr>
    </w:p>
    <w:p>
      <w:pPr>
        <w:ind w:left="1700" w:hanging="325"/>
        <w:spacing w:after="0"/>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debt securities of any series issued that have been authenticated have been delivered to the trustee for cancellation; or</w:t>
      </w:r>
    </w:p>
    <w:p>
      <w:pPr>
        <w:spacing w:after="0" w:line="100" w:lineRule="exact"/>
        <w:rPr>
          <w:rFonts w:ascii="Times New Roman" w:cs="Times New Roman" w:eastAsia="Times New Roman" w:hAnsi="Times New Roman"/>
          <w:sz w:val="14"/>
          <w:szCs w:val="14"/>
          <w:color w:val="auto"/>
        </w:rPr>
      </w:pPr>
    </w:p>
    <w:p>
      <w:pPr>
        <w:ind w:left="1700" w:right="259" w:hanging="325"/>
        <w:spacing w:after="0" w:line="257" w:lineRule="auto"/>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debt securities of any series issued that have not been delivered to the trustee for cancellation have become due and payable, will become due and payable within one year, or are to be called for redemption within one year and we have made arrangements satisfactory to the trustee for the giving of notice of redemption by such trustee in our name and at our expense, and in each case, we have irrevocably deposited or caused to be deposited with the trustee sufficient funds to pay and discharge the entire indebtedness on the notes to pay principal, interest and any premium; and</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4"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hanging="325"/>
        <w:spacing w:after="0"/>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then due and payable under the indenture; and</w:t>
      </w:r>
    </w:p>
    <w:p>
      <w:pPr>
        <w:spacing w:after="0" w:line="100" w:lineRule="exact"/>
        <w:rPr>
          <w:rFonts w:ascii="Times New Roman" w:cs="Times New Roman" w:eastAsia="Times New Roman" w:hAnsi="Times New Roman"/>
          <w:sz w:val="14"/>
          <w:szCs w:val="14"/>
          <w:color w:val="auto"/>
        </w:rPr>
      </w:pPr>
    </w:p>
    <w:p>
      <w:pPr>
        <w:ind w:left="1700" w:right="479" w:hanging="325"/>
        <w:spacing w:after="0" w:line="281"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each stating that all conditions precedent under the indenture relating to the satisfaction and discharge of the indenture have been complied with.</w:t>
      </w:r>
    </w:p>
    <w:p>
      <w:pPr>
        <w:spacing w:after="0" w:line="125" w:lineRule="exact"/>
        <w:rPr>
          <w:sz w:val="20"/>
          <w:szCs w:val="20"/>
          <w:color w:val="auto"/>
        </w:rPr>
      </w:pPr>
    </w:p>
    <w:p>
      <w:pPr>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We may elect to have our obligations under the indenture discharged with respect to the outstanding debt securities of any series (“legal defeasance”). Legal defeasance means that we will be deemed to have paid and discharged the entire indebtedness represented by the outstanding debt securities of such series under the indenture, except for:</w:t>
      </w:r>
    </w:p>
    <w:p>
      <w:pPr>
        <w:spacing w:after="0" w:line="63" w:lineRule="exact"/>
        <w:rPr>
          <w:sz w:val="20"/>
          <w:szCs w:val="20"/>
          <w:color w:val="auto"/>
        </w:rPr>
      </w:pPr>
    </w:p>
    <w:p>
      <w:pPr>
        <w:ind w:left="1700" w:hanging="325"/>
        <w:spacing w:after="0"/>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holder of the debt securities to receive principal, interest and any premium when due;</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mutilated, destroyed, lost or stolen debt securities and the maintenance of an office or agency for payment for security payments held in trust;</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trusts, duties and immunities of the trustee; and</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defeasance provisions of the indenture.</w:t>
      </w:r>
    </w:p>
    <w:p>
      <w:pPr>
        <w:spacing w:after="0" w:line="174"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In addition, we may elect to have our obligations released with respect to certain covenants in the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“—Events of Default” will no longer constitute an event of default for that series.</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In order to exercise either legal defeasance or covenant defeasance with respect to the outstanding debt securities of any series:</w:t>
      </w:r>
    </w:p>
    <w:p>
      <w:pPr>
        <w:spacing w:after="0" w:line="101" w:lineRule="exact"/>
        <w:rPr>
          <w:sz w:val="20"/>
          <w:szCs w:val="20"/>
          <w:color w:val="auto"/>
        </w:rPr>
      </w:pPr>
    </w:p>
    <w:p>
      <w:pPr>
        <w:ind w:left="1700" w:right="459" w:hanging="325"/>
        <w:spacing w:after="0" w:line="281"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irrevocably have deposited or caused to be deposited with the trustee as trust funds for the purpose of making the following payments, specifically pledged as security for, and dedicated solely to the benefits of the holders of the debt securities of a series:</w:t>
      </w:r>
    </w:p>
    <w:p>
      <w:pPr>
        <w:spacing w:after="0" w:line="52"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in an amount;</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obligations that will provide, not later than one day before the due date of any payment, money in an amount; or</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money and U.S. government obligations (or equivalent government obligations, as applicable),</w:t>
      </w:r>
    </w:p>
    <w:p>
      <w:pPr>
        <w:spacing w:after="0" w:line="174" w:lineRule="exact"/>
        <w:rPr>
          <w:sz w:val="20"/>
          <w:szCs w:val="20"/>
          <w:color w:val="auto"/>
        </w:rPr>
      </w:pPr>
    </w:p>
    <w:p>
      <w:pPr>
        <w:ind w:left="1380" w:right="259"/>
        <w:spacing w:after="0" w:line="265" w:lineRule="auto"/>
        <w:rPr>
          <w:sz w:val="20"/>
          <w:szCs w:val="20"/>
          <w:color w:val="auto"/>
        </w:rPr>
      </w:pPr>
      <w:r>
        <w:rPr>
          <w:rFonts w:ascii="Times New Roman" w:cs="Times New Roman" w:eastAsia="Times New Roman" w:hAnsi="Times New Roman"/>
          <w:sz w:val="14"/>
          <w:szCs w:val="14"/>
          <w:color w:val="auto"/>
        </w:rPr>
        <w:t>in each case sufficient, in the written opinion of a nationally recognized firm of independent registered public accountants to pay and discharge, and which shall be applied by the trustee to pay and discharge, all of the principal (including mandatory sinking fund payments), interest and any premium at due date or maturity;</w:t>
      </w:r>
    </w:p>
    <w:p>
      <w:pPr>
        <w:spacing w:after="0" w:line="63" w:lineRule="exact"/>
        <w:rPr>
          <w:sz w:val="20"/>
          <w:szCs w:val="20"/>
          <w:color w:val="auto"/>
        </w:rPr>
      </w:pPr>
    </w:p>
    <w:p>
      <w:pPr>
        <w:ind w:left="1700" w:right="279" w:hanging="325"/>
        <w:spacing w:after="0" w:line="257" w:lineRule="auto"/>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legal defeasance, we have delivered to the trustee an opinion of counsel stating that (i) we have received from, or there has been published by, the U.S. Internal Revenue Service, a ruling, or (ii) since the issuance of the debt securities, there has been a change in applicable U.S. federal income tax law, in either case to the effect that the holders of the debt securities of that series will not recognize income, gain or loss for U.S. federal income tax purposes as a result of the deposit, defeasance and discharge to be effected and will be subject to the same U.S. federal income tax as would be the case if the deposit, defeasance and discharge did not occur;</w:t>
      </w:r>
    </w:p>
    <w:p>
      <w:pPr>
        <w:spacing w:after="0" w:line="69" w:lineRule="exact"/>
        <w:rPr>
          <w:rFonts w:ascii="Times New Roman" w:cs="Times New Roman" w:eastAsia="Times New Roman" w:hAnsi="Times New Roman"/>
          <w:sz w:val="14"/>
          <w:szCs w:val="14"/>
          <w:color w:val="auto"/>
        </w:rPr>
      </w:pPr>
    </w:p>
    <w:p>
      <w:pPr>
        <w:jc w:val="both"/>
        <w:ind w:left="1700" w:right="259" w:hanging="325"/>
        <w:spacing w:after="0" w:line="265" w:lineRule="auto"/>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covenant defeasance, we have delivered to the trustee an opinion of counsel to the effect that the holders of the debt securities of that series will not recognize income, gain or loss for U.S. federal income tax purposes as a result of the deposit and covenant defeasance to be effected and will be subject to the same U.S. federal income tax as would be the case if the deposit and covenant defeasance did not occur;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4"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right="259" w:hanging="325"/>
        <w:spacing w:after="0" w:line="260"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or default with respect to the outstanding debt securities of that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it being understood that this condition is not deemed satisfied until after the 91st day;</w:t>
      </w:r>
    </w:p>
    <w:p>
      <w:pPr>
        <w:spacing w:after="0" w:line="66" w:lineRule="exact"/>
        <w:rPr>
          <w:rFonts w:ascii="Times New Roman" w:cs="Times New Roman" w:eastAsia="Times New Roman" w:hAnsi="Times New Roman"/>
          <w:sz w:val="14"/>
          <w:szCs w:val="14"/>
          <w:color w:val="auto"/>
        </w:rPr>
      </w:pPr>
    </w:p>
    <w:p>
      <w:pPr>
        <w:ind w:left="1700" w:right="319" w:hanging="325"/>
        <w:spacing w:after="0" w:line="281"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defeasance or covenant defeasance will not cause the trustee to have a conflicting interest within the meaning of the Trust Indenture Act, assuming all debt securities of that series were in default within the meaning of such Act;</w:t>
      </w:r>
    </w:p>
    <w:p>
      <w:pPr>
        <w:spacing w:after="0" w:line="52" w:lineRule="exact"/>
        <w:rPr>
          <w:rFonts w:ascii="Times New Roman" w:cs="Times New Roman" w:eastAsia="Times New Roman" w:hAnsi="Times New Roman"/>
          <w:sz w:val="14"/>
          <w:szCs w:val="14"/>
          <w:color w:val="auto"/>
        </w:rPr>
      </w:pPr>
    </w:p>
    <w:p>
      <w:pPr>
        <w:ind w:left="1700" w:right="719" w:hanging="325"/>
        <w:spacing w:after="0" w:line="281"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defeasance or covenant defeasance will not result in a breach or violation of, or constitute a default under, any other agreement or instrument to which we are a party;</w:t>
      </w:r>
    </w:p>
    <w:p>
      <w:pPr>
        <w:spacing w:after="0" w:line="52" w:lineRule="exact"/>
        <w:rPr>
          <w:rFonts w:ascii="Times New Roman" w:cs="Times New Roman" w:eastAsia="Times New Roman" w:hAnsi="Times New Roman"/>
          <w:sz w:val="14"/>
          <w:szCs w:val="14"/>
          <w:color w:val="auto"/>
        </w:rPr>
      </w:pPr>
    </w:p>
    <w:p>
      <w:pPr>
        <w:ind w:left="1700" w:right="459" w:hanging="325"/>
        <w:spacing w:after="0" w:line="321" w:lineRule="auto"/>
        <w:tabs>
          <w:tab w:leader="none" w:pos="17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29" w:lineRule="exact"/>
        <w:rPr>
          <w:rFonts w:ascii="Times New Roman" w:cs="Times New Roman" w:eastAsia="Times New Roman" w:hAnsi="Times New Roman"/>
          <w:sz w:val="13"/>
          <w:szCs w:val="13"/>
          <w:color w:val="auto"/>
        </w:rPr>
      </w:pPr>
    </w:p>
    <w:p>
      <w:pPr>
        <w:ind w:left="1700" w:right="859" w:hanging="325"/>
        <w:spacing w:after="0" w:line="281"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stating that all conditions precedent with respect to the defeasance or covenant defeasance have been complied with.</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Book-Entry, Delivery and Form</w:t>
      </w:r>
    </w:p>
    <w:p>
      <w:pPr>
        <w:spacing w:after="0" w:line="92" w:lineRule="exact"/>
        <w:rPr>
          <w:sz w:val="20"/>
          <w:szCs w:val="20"/>
          <w:color w:val="auto"/>
        </w:rPr>
      </w:pPr>
    </w:p>
    <w:p>
      <w:pPr>
        <w:ind w:left="1380" w:right="359" w:firstLine="341"/>
        <w:spacing w:after="0" w:line="257" w:lineRule="auto"/>
        <w:rPr>
          <w:sz w:val="20"/>
          <w:szCs w:val="20"/>
          <w:color w:val="auto"/>
        </w:rPr>
      </w:pPr>
      <w:r>
        <w:rPr>
          <w:rFonts w:ascii="Times New Roman" w:cs="Times New Roman" w:eastAsia="Times New Roman" w:hAnsi="Times New Roman"/>
          <w:sz w:val="14"/>
          <w:szCs w:val="14"/>
          <w:color w:val="auto"/>
        </w:rPr>
        <w:t>The debt securities of a series may be issued in whole or in part in the form of one or more global securities that will be deposited with, or on behalf of, a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denominations of $2,000 or any integral multiple of $1,000 in excess thereof and will be issued in registered form only, without coupons.</w:t>
      </w:r>
    </w:p>
    <w:p>
      <w:pPr>
        <w:spacing w:after="0" w:line="143"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We anticipate that any global securities will be deposited with, or on behalf of,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40" w:lineRule="exact"/>
        <w:rPr>
          <w:sz w:val="20"/>
          <w:szCs w:val="20"/>
          <w:color w:val="auto"/>
        </w:rPr>
      </w:pPr>
    </w:p>
    <w:p>
      <w:pPr>
        <w:ind w:left="1380" w:right="339" w:firstLine="341"/>
        <w:spacing w:after="0" w:line="281" w:lineRule="auto"/>
        <w:rPr>
          <w:sz w:val="20"/>
          <w:szCs w:val="20"/>
          <w:color w:val="auto"/>
        </w:rPr>
      </w:pPr>
      <w:r>
        <w:rPr>
          <w:rFonts w:ascii="Times New Roman" w:cs="Times New Roman" w:eastAsia="Times New Roman" w:hAnsi="Times New Roman"/>
          <w:sz w:val="14"/>
          <w:szCs w:val="14"/>
          <w:color w:val="auto"/>
        </w:rPr>
        <w:t>Beneficial interests in the global securities will be represented through book-entry accounts of financial institutions acting on behalf of beneficial owners as direct or indirect participants in DTC.</w:t>
      </w:r>
    </w:p>
    <w:p>
      <w:pPr>
        <w:spacing w:after="0" w:line="125"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Investors may elect to hold their interests in the global securities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denominations of $2,000 and multiples of $1,000 in excess thereof. Except as set forth below, the global securities may be transferred, in whole and not in part, only to another nominee of DTC or to a successor of DTC or its nominee.</w:t>
      </w:r>
    </w:p>
    <w:p>
      <w:pPr>
        <w:spacing w:after="0" w:line="14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Debt securities represented by a global security can be exchanged for definitive securities in registered form only if:</w:t>
      </w:r>
    </w:p>
    <w:p>
      <w:pPr>
        <w:spacing w:after="0" w:line="195" w:lineRule="exact"/>
        <w:rPr>
          <w:sz w:val="20"/>
          <w:szCs w:val="20"/>
          <w:color w:val="auto"/>
        </w:rPr>
      </w:pPr>
    </w:p>
    <w:p>
      <w:pPr>
        <w:ind w:left="1700" w:right="239" w:hanging="325"/>
        <w:spacing w:after="0" w:line="281"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depositary for that global security, and we do not appoint a successor depositary within 90 days after receiving that notice;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4"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700" w:right="339" w:hanging="325"/>
        <w:spacing w:after="0" w:line="265" w:lineRule="auto"/>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DTC ceases to be a clearing agency registered or in good standing under the Exchange Act, as amended, or other applicable statute or regulation, and we do not appoint a successor depositary within 90 days after becoming aware that DTC has ceased to be registered as a clearing agency; or</w:t>
      </w:r>
    </w:p>
    <w:p>
      <w:pPr>
        <w:spacing w:after="0" w:line="63"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that that global security will be exchangeable for definitive securities in registered form and we notify the trustee of our decision.</w:t>
      </w:r>
    </w:p>
    <w:p>
      <w:pPr>
        <w:spacing w:after="0" w:line="174" w:lineRule="exact"/>
        <w:rPr>
          <w:sz w:val="20"/>
          <w:szCs w:val="20"/>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36"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We will make principal and interest payments on all debt securities represented by a global security to the Paying Agent which in turn will make payment to DTC or its nominee, as the case may be, as the sole registered owner and the sole holder of the debt securities represented by a global security for all purposes under the indenture. Accordingly, we, the trustee and any Paying Agent will have no responsibility or liability for:</w:t>
      </w:r>
    </w:p>
    <w:p>
      <w:pPr>
        <w:spacing w:after="0" w:line="63" w:lineRule="exact"/>
        <w:rPr>
          <w:sz w:val="20"/>
          <w:szCs w:val="20"/>
          <w:color w:val="auto"/>
        </w:rPr>
      </w:pPr>
    </w:p>
    <w:p>
      <w:pPr>
        <w:ind w:left="1700" w:right="319" w:hanging="325"/>
        <w:spacing w:after="0" w:line="281" w:lineRule="auto"/>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aspect of DTC’s records relating to, or payments made on account of, beneficial ownership interests in a debt security represented by a global security; or</w:t>
      </w:r>
    </w:p>
    <w:p>
      <w:pPr>
        <w:spacing w:after="0" w:line="52" w:lineRule="exact"/>
        <w:rPr>
          <w:rFonts w:ascii="Times New Roman" w:cs="Times New Roman" w:eastAsia="Times New Roman" w:hAnsi="Times New Roman"/>
          <w:sz w:val="14"/>
          <w:szCs w:val="14"/>
          <w:color w:val="auto"/>
        </w:rPr>
      </w:pPr>
    </w:p>
    <w:p>
      <w:pPr>
        <w:jc w:val="both"/>
        <w:ind w:left="1700" w:right="399" w:hanging="325"/>
        <w:spacing w:after="0" w:line="265" w:lineRule="auto"/>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36" w:lineRule="exact"/>
        <w:rPr>
          <w:sz w:val="20"/>
          <w:szCs w:val="20"/>
          <w:color w:val="auto"/>
        </w:rPr>
      </w:pPr>
    </w:p>
    <w:p>
      <w:pPr>
        <w:ind w:left="1380" w:right="319" w:firstLine="341"/>
        <w:spacing w:after="0" w:line="251" w:lineRule="auto"/>
        <w:rPr>
          <w:sz w:val="20"/>
          <w:szCs w:val="20"/>
          <w:color w:val="auto"/>
        </w:rPr>
      </w:pPr>
      <w:r>
        <w:rPr>
          <w:rFonts w:ascii="Times New Roman" w:cs="Times New Roman" w:eastAsia="Times New Roman" w:hAnsi="Times New Roman"/>
          <w:sz w:val="14"/>
          <w:szCs w:val="14"/>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 So long as DTC or its nominee is the registered owner of a global security, DTC or its nominee, as the case may be, will be considered the sole owner and holder of the debt securities represented by that global security for all purposes of the debt securities.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53" w:lineRule="exact"/>
        <w:rPr>
          <w:sz w:val="20"/>
          <w:szCs w:val="20"/>
          <w:color w:val="auto"/>
        </w:rPr>
      </w:pPr>
    </w:p>
    <w:p>
      <w:pPr>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40" w:lineRule="exact"/>
        <w:rPr>
          <w:sz w:val="20"/>
          <w:szCs w:val="20"/>
          <w:color w:val="auto"/>
        </w:rPr>
      </w:pPr>
    </w:p>
    <w:p>
      <w:pPr>
        <w:ind w:left="1380" w:right="759" w:firstLine="341"/>
        <w:spacing w:after="0" w:line="281" w:lineRule="auto"/>
        <w:rPr>
          <w:sz w:val="20"/>
          <w:szCs w:val="20"/>
          <w:color w:val="auto"/>
        </w:rPr>
      </w:pPr>
      <w:r>
        <w:rPr>
          <w:rFonts w:ascii="Times New Roman" w:cs="Times New Roman" w:eastAsia="Times New Roman" w:hAnsi="Times New Roman"/>
          <w:sz w:val="14"/>
          <w:szCs w:val="14"/>
          <w:color w:val="auto"/>
        </w:rPr>
        <w:t>Beneficial interests in a global security will be shown on, and transfers of those ownership interests will be effected only through, records maintained by DTC and its participants for that global security. The conveyance of</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4"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699"/>
        <w:spacing w:after="0" w:line="281" w:lineRule="auto"/>
        <w:rPr>
          <w:sz w:val="20"/>
          <w:szCs w:val="20"/>
          <w:color w:val="auto"/>
        </w:rPr>
      </w:pPr>
      <w:r>
        <w:rPr>
          <w:rFonts w:ascii="Times New Roman" w:cs="Times New Roman" w:eastAsia="Times New Roman" w:hAnsi="Times New Roman"/>
          <w:sz w:val="14"/>
          <w:szCs w:val="14"/>
          <w:color w:val="auto"/>
        </w:rPr>
        <w:t>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25" w:lineRule="exact"/>
        <w:rPr>
          <w:sz w:val="20"/>
          <w:szCs w:val="20"/>
          <w:color w:val="auto"/>
        </w:rPr>
      </w:pPr>
    </w:p>
    <w:p>
      <w:pPr>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36"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44" w:lineRule="exact"/>
        <w:rPr>
          <w:sz w:val="20"/>
          <w:szCs w:val="20"/>
          <w:color w:val="auto"/>
        </w:rPr>
      </w:pPr>
    </w:p>
    <w:p>
      <w:pPr>
        <w:ind w:left="1380" w:right="359" w:firstLine="341"/>
        <w:spacing w:after="0" w:line="281" w:lineRule="auto"/>
        <w:rPr>
          <w:sz w:val="20"/>
          <w:szCs w:val="20"/>
          <w:color w:val="auto"/>
        </w:rPr>
      </w:pPr>
      <w:r>
        <w:rPr>
          <w:rFonts w:ascii="Times New Roman" w:cs="Times New Roman" w:eastAsia="Times New Roman" w:hAnsi="Times New Roman"/>
          <w:sz w:val="14"/>
          <w:szCs w:val="14"/>
          <w:color w:val="auto"/>
        </w:rPr>
        <w:t>The information in this section concerning DTC and DTC’s book-entry system has been obtained from sources that we believe to be reliable, but we take no responsibility for the accuracy thereof.</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Clearstream</w:t>
      </w:r>
    </w:p>
    <w:p>
      <w:pPr>
        <w:spacing w:after="0" w:line="92" w:lineRule="exact"/>
        <w:rPr>
          <w:sz w:val="20"/>
          <w:szCs w:val="20"/>
          <w:color w:val="auto"/>
        </w:rPr>
      </w:pPr>
    </w:p>
    <w:p>
      <w:pPr>
        <w:ind w:left="1380" w:right="279" w:firstLine="341"/>
        <w:spacing w:after="0" w:line="252" w:lineRule="auto"/>
        <w:rPr>
          <w:sz w:val="20"/>
          <w:szCs w:val="20"/>
          <w:color w:val="auto"/>
        </w:rPr>
      </w:pPr>
      <w:r>
        <w:rPr>
          <w:rFonts w:ascii="Times New Roman" w:cs="Times New Roman" w:eastAsia="Times New Roman" w:hAnsi="Times New Roman"/>
          <w:sz w:val="14"/>
          <w:szCs w:val="14"/>
          <w:color w:val="auto"/>
        </w:rPr>
        <w:t>Clearstream has advised us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50" w:lineRule="exact"/>
        <w:rPr>
          <w:sz w:val="20"/>
          <w:szCs w:val="20"/>
          <w:color w:val="auto"/>
        </w:rPr>
      </w:pPr>
    </w:p>
    <w:p>
      <w:pPr>
        <w:ind w:left="1380" w:right="319" w:firstLine="341"/>
        <w:spacing w:after="0" w:line="281" w:lineRule="auto"/>
        <w:rPr>
          <w:sz w:val="20"/>
          <w:szCs w:val="20"/>
          <w:color w:val="auto"/>
        </w:rPr>
      </w:pPr>
      <w:r>
        <w:rPr>
          <w:rFonts w:ascii="Times New Roman" w:cs="Times New Roman" w:eastAsia="Times New Roman" w:hAnsi="Times New Roman"/>
          <w:sz w:val="14"/>
          <w:szCs w:val="14"/>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Euroclear</w:t>
      </w:r>
    </w:p>
    <w:p>
      <w:pPr>
        <w:spacing w:after="0" w:line="92"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Euroclear has advised us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259"/>
        <w:spacing w:after="0" w:line="254" w:lineRule="auto"/>
        <w:rPr>
          <w:sz w:val="20"/>
          <w:szCs w:val="20"/>
          <w:color w:val="auto"/>
        </w:rPr>
      </w:pPr>
      <w:r>
        <w:rPr>
          <w:rFonts w:ascii="Times New Roman" w:cs="Times New Roman" w:eastAsia="Times New Roman" w:hAnsi="Times New Roman"/>
          <w:sz w:val="14"/>
          <w:szCs w:val="14"/>
          <w:color w:val="auto"/>
        </w:rPr>
        <w:t>owned by Euroclear Clearance System Public Limited Company (ECSplc) and operated through Euroclear Bank S.A/N.V. (the “Euroclear Operator”), a bank incorporated under the laws of the Kingdom of Belgium,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47" w:lineRule="exact"/>
        <w:rPr>
          <w:sz w:val="20"/>
          <w:szCs w:val="20"/>
          <w:color w:val="auto"/>
        </w:rPr>
      </w:pPr>
    </w:p>
    <w:p>
      <w:pPr>
        <w:ind w:left="1380" w:right="439" w:firstLine="341"/>
        <w:spacing w:after="0" w:line="281" w:lineRule="auto"/>
        <w:rPr>
          <w:sz w:val="20"/>
          <w:szCs w:val="20"/>
          <w:color w:val="auto"/>
        </w:rPr>
      </w:pPr>
      <w:r>
        <w:rPr>
          <w:rFonts w:ascii="Times New Roman" w:cs="Times New Roman" w:eastAsia="Times New Roman" w:hAnsi="Times New Roman"/>
          <w:sz w:val="14"/>
          <w:szCs w:val="14"/>
          <w:color w:val="auto"/>
        </w:rPr>
        <w:t>The Euroclear Operator advises us that it is regulated and examined by the Belgian banking and Finance Commission and the National Bank of Belgium.</w:t>
      </w:r>
    </w:p>
    <w:p>
      <w:pPr>
        <w:spacing w:after="0" w:line="125" w:lineRule="exact"/>
        <w:rPr>
          <w:sz w:val="20"/>
          <w:szCs w:val="20"/>
          <w:color w:val="auto"/>
        </w:rPr>
      </w:pPr>
    </w:p>
    <w:p>
      <w:pPr>
        <w:ind w:left="1380" w:right="359" w:firstLine="341"/>
        <w:spacing w:after="0" w:line="255" w:lineRule="auto"/>
        <w:rPr>
          <w:sz w:val="20"/>
          <w:szCs w:val="20"/>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46" w:lineRule="exact"/>
        <w:rPr>
          <w:sz w:val="20"/>
          <w:szCs w:val="20"/>
          <w:color w:val="auto"/>
        </w:rPr>
      </w:pPr>
    </w:p>
    <w:p>
      <w:pPr>
        <w:ind w:left="1380" w:right="379" w:firstLine="341"/>
        <w:spacing w:after="0" w:line="281" w:lineRule="auto"/>
        <w:rPr>
          <w:sz w:val="20"/>
          <w:szCs w:val="20"/>
          <w:color w:val="auto"/>
        </w:rPr>
      </w:pPr>
      <w:r>
        <w:rPr>
          <w:rFonts w:ascii="Times New Roman" w:cs="Times New Roman" w:eastAsia="Times New Roman" w:hAnsi="Times New Roman"/>
          <w:sz w:val="14"/>
          <w:szCs w:val="14"/>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25" w:lineRule="exact"/>
        <w:rPr>
          <w:sz w:val="20"/>
          <w:szCs w:val="20"/>
          <w:color w:val="auto"/>
        </w:rPr>
      </w:pPr>
    </w:p>
    <w:p>
      <w:pPr>
        <w:ind w:left="1380" w:right="259" w:firstLine="341"/>
        <w:spacing w:after="0" w:line="260" w:lineRule="auto"/>
        <w:rPr>
          <w:sz w:val="20"/>
          <w:szCs w:val="20"/>
          <w:color w:val="auto"/>
        </w:rPr>
      </w:pPr>
      <w:r>
        <w:rPr>
          <w:rFonts w:ascii="Times New Roman" w:cs="Times New Roman" w:eastAsia="Times New Roman" w:hAnsi="Times New Roman"/>
          <w:sz w:val="14"/>
          <w:szCs w:val="14"/>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Global Clearance and Settlement Procedures</w:t>
      </w:r>
    </w:p>
    <w:p>
      <w:pPr>
        <w:spacing w:after="0" w:line="92"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43"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4"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80" w:right="339" w:firstLine="341"/>
        <w:spacing w:after="0" w:line="255" w:lineRule="auto"/>
        <w:rPr>
          <w:sz w:val="20"/>
          <w:szCs w:val="20"/>
          <w:color w:val="auto"/>
        </w:rPr>
      </w:pPr>
      <w:r>
        <w:rPr>
          <w:rFonts w:ascii="Times New Roman" w:cs="Times New Roman" w:eastAsia="Times New Roman" w:hAnsi="Times New Roman"/>
          <w:sz w:val="14"/>
          <w:szCs w:val="14"/>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6" w:lineRule="exact"/>
        <w:rPr>
          <w:sz w:val="20"/>
          <w:szCs w:val="20"/>
          <w:color w:val="auto"/>
        </w:rPr>
      </w:pPr>
    </w:p>
    <w:p>
      <w:pPr>
        <w:ind w:left="1380" w:right="379" w:firstLine="341"/>
        <w:spacing w:after="0" w:line="254" w:lineRule="auto"/>
        <w:rPr>
          <w:sz w:val="20"/>
          <w:szCs w:val="20"/>
          <w:color w:val="auto"/>
        </w:rPr>
      </w:pPr>
      <w:r>
        <w:rPr>
          <w:rFonts w:ascii="Times New Roman" w:cs="Times New Roman" w:eastAsia="Times New Roman" w:hAnsi="Times New Roman"/>
          <w:sz w:val="14"/>
          <w:szCs w:val="14"/>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47" w:lineRule="exact"/>
        <w:rPr>
          <w:sz w:val="20"/>
          <w:szCs w:val="20"/>
          <w:color w:val="auto"/>
        </w:rPr>
      </w:pPr>
    </w:p>
    <w:p>
      <w:pPr>
        <w:ind w:left="1380" w:right="419" w:firstLine="341"/>
        <w:spacing w:after="0" w:line="286" w:lineRule="auto"/>
        <w:rPr>
          <w:sz w:val="20"/>
          <w:szCs w:val="20"/>
          <w:color w:val="auto"/>
        </w:rPr>
      </w:pPr>
      <w:r>
        <w:rPr>
          <w:rFonts w:ascii="Times New Roman" w:cs="Times New Roman" w:eastAsia="Times New Roman" w:hAnsi="Times New Roman"/>
          <w:sz w:val="13"/>
          <w:szCs w:val="13"/>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Neither we nor any paying agent will have any responsibility for the performance by DTC, Euroclear or Clearstream or their respective direct or indirect participants of their obligations under the rules and procedures governing their operations.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76" w:lineRule="exact"/>
        <w:rPr>
          <w:sz w:val="20"/>
          <w:szCs w:val="20"/>
          <w:color w:val="auto"/>
        </w:rPr>
      </w:pPr>
    </w:p>
    <w:p>
      <w:pPr>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We are authorized to issue 750,000,000 shares of common stock, par value $0.01 per share, and 50,000,000 shares of preferred stock, having no stated par value. No shares of preferred stock are currently outstanding. All outstanding shares of common stock are validly issued, fully paid and nonassessable.</w:t>
      </w:r>
    </w:p>
    <w:p>
      <w:pPr>
        <w:spacing w:after="0" w:line="136" w:lineRule="exact"/>
        <w:rPr>
          <w:sz w:val="20"/>
          <w:szCs w:val="20"/>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The following description of the terms of our common stock is not complete and is qualified in its entirety by reference to our fourth amended and restated articles of incorporation and our fourth amended and restated by-laws, each of which is incorporated by reference into this prospectus as exhibits.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2" w:lineRule="exact"/>
        <w:rPr>
          <w:sz w:val="20"/>
          <w:szCs w:val="20"/>
          <w:color w:val="auto"/>
        </w:rPr>
      </w:pPr>
    </w:p>
    <w:p>
      <w:pPr>
        <w:ind w:left="1380" w:right="699" w:firstLine="341"/>
        <w:spacing w:after="0" w:line="281" w:lineRule="auto"/>
        <w:rPr>
          <w:sz w:val="20"/>
          <w:szCs w:val="20"/>
          <w:color w:val="auto"/>
        </w:rPr>
      </w:pPr>
      <w:r>
        <w:rPr>
          <w:rFonts w:ascii="Times New Roman" w:cs="Times New Roman" w:eastAsia="Times New Roman" w:hAnsi="Times New Roman"/>
          <w:sz w:val="14"/>
          <w:szCs w:val="14"/>
          <w:color w:val="auto"/>
        </w:rPr>
        <w:t>The holders of our common stock are entitled to one vote per share on all matters to be voted on by shareholders. There is no provision for cumulative voting with regard to the election of directors.</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Dividend and Liquidation Rights</w:t>
      </w:r>
    </w:p>
    <w:p>
      <w:pPr>
        <w:spacing w:after="0" w:line="92" w:lineRule="exact"/>
        <w:rPr>
          <w:sz w:val="20"/>
          <w:szCs w:val="20"/>
          <w:color w:val="auto"/>
        </w:rPr>
      </w:pPr>
    </w:p>
    <w:p>
      <w:pPr>
        <w:ind w:left="1380" w:right="479" w:firstLine="341"/>
        <w:spacing w:after="0" w:line="257" w:lineRule="auto"/>
        <w:rPr>
          <w:sz w:val="20"/>
          <w:szCs w:val="20"/>
          <w:color w:val="auto"/>
        </w:rPr>
      </w:pPr>
      <w:r>
        <w:rPr>
          <w:rFonts w:ascii="Times New Roman" w:cs="Times New Roman" w:eastAsia="Times New Roman" w:hAnsi="Times New Roman"/>
          <w:sz w:val="14"/>
          <w:szCs w:val="14"/>
          <w:color w:val="auto"/>
        </w:rPr>
        <w:t>Subject to all the rights of the holders of the preferred stock, the holders of shares of common stock shall be entitled to receive, when, as and if declared by the board of directors, out of funds legally available for the payment thereof, dividends payable in cash, stock or otherwise. Upon any liquidation, dissolution or winding up, whether voluntary or involuntary, and subject to the rights of the holders of the preferred stock, the remaining assets of Xylem Inc. available for distribution shall be distributed to the holders of the common stock ratably according to the number of shares of common stock held by such holder.</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92" w:lineRule="exact"/>
        <w:rPr>
          <w:sz w:val="20"/>
          <w:szCs w:val="20"/>
          <w:color w:val="auto"/>
        </w:rPr>
      </w:pPr>
    </w:p>
    <w:p>
      <w:pPr>
        <w:ind w:left="1380" w:right="699" w:firstLine="341"/>
        <w:spacing w:after="0" w:line="281" w:lineRule="auto"/>
        <w:rPr>
          <w:sz w:val="20"/>
          <w:szCs w:val="20"/>
          <w:color w:val="auto"/>
        </w:rPr>
      </w:pPr>
      <w:r>
        <w:rPr>
          <w:rFonts w:ascii="Times New Roman" w:cs="Times New Roman" w:eastAsia="Times New Roman" w:hAnsi="Times New Roman"/>
          <w:sz w:val="14"/>
          <w:szCs w:val="14"/>
          <w:color w:val="auto"/>
        </w:rPr>
        <w:t>The holders of our common stock have no preemptive rights and no rights to convert their common stock into any other securities, and our common stock is not subject to any redemption or sinking fund provisions.</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of our Articles of Incorporation, our By-laws and Indiana Law</w:t>
      </w:r>
    </w:p>
    <w:p>
      <w:pPr>
        <w:spacing w:after="0" w:line="92" w:lineRule="exact"/>
        <w:rPr>
          <w:sz w:val="20"/>
          <w:szCs w:val="20"/>
          <w:color w:val="auto"/>
        </w:rPr>
      </w:pPr>
    </w:p>
    <w:p>
      <w:pPr>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Various provisions contained in our articles of incorporation, our by-laws and Indiana law could delay or discourage some transactions involving an actual or potential change in control of Xylem Inc. and may limit the ability of our shareholders to remove current management or approve transactions that our shareholders may deem to be in their best interests. Provisions in our articles of incorporation and our by-laws:</w:t>
      </w:r>
    </w:p>
    <w:p>
      <w:pPr>
        <w:spacing w:after="0" w:line="63" w:lineRule="exact"/>
        <w:rPr>
          <w:sz w:val="20"/>
          <w:szCs w:val="20"/>
          <w:color w:val="auto"/>
        </w:rPr>
      </w:pPr>
    </w:p>
    <w:p>
      <w:pPr>
        <w:ind w:left="1700" w:right="259" w:hanging="325"/>
        <w:spacing w:after="0" w:line="281" w:lineRule="auto"/>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establish one or more series of undesignated preferred stock, the terms of which can be determined by the board of directors at the time of issuance;</w:t>
      </w:r>
    </w:p>
    <w:p>
      <w:pPr>
        <w:spacing w:after="0" w:line="52"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authorize cumulative voting;</w:t>
      </w:r>
    </w:p>
    <w:p>
      <w:pPr>
        <w:spacing w:after="0" w:line="100" w:lineRule="exact"/>
        <w:rPr>
          <w:rFonts w:ascii="Times New Roman" w:cs="Times New Roman" w:eastAsia="Times New Roman" w:hAnsi="Times New Roman"/>
          <w:sz w:val="14"/>
          <w:szCs w:val="14"/>
          <w:color w:val="auto"/>
        </w:rPr>
      </w:pPr>
    </w:p>
    <w:p>
      <w:pPr>
        <w:ind w:left="1700" w:hanging="325"/>
        <w:spacing w:after="0"/>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board of directors to supplement, amend, or repeal the by-laws and to adopt new by-laws;</w:t>
      </w:r>
    </w:p>
    <w:p>
      <w:pPr>
        <w:spacing w:after="0" w:line="100" w:lineRule="exact"/>
        <w:rPr>
          <w:rFonts w:ascii="Times New Roman" w:cs="Times New Roman" w:eastAsia="Times New Roman" w:hAnsi="Times New Roman"/>
          <w:sz w:val="14"/>
          <w:szCs w:val="14"/>
          <w:color w:val="auto"/>
        </w:rPr>
      </w:pPr>
    </w:p>
    <w:p>
      <w:pPr>
        <w:ind w:left="1700" w:right="339" w:hanging="325"/>
        <w:spacing w:after="0" w:line="265" w:lineRule="auto"/>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 special meeting of the shareholders may be called by (i) the board of directors, (ii) the chair of the board of directors, or (iii) the secretary upon the request of at least 25 percent of the outstanding shares of common stock entitled to vote on the matter or matters to be brought before the proposed special meeting;</w:t>
      </w:r>
    </w:p>
    <w:p>
      <w:pPr>
        <w:spacing w:after="0" w:line="63" w:lineRule="exact"/>
        <w:rPr>
          <w:rFonts w:ascii="Times New Roman" w:cs="Times New Roman" w:eastAsia="Times New Roman" w:hAnsi="Times New Roman"/>
          <w:sz w:val="14"/>
          <w:szCs w:val="14"/>
          <w:color w:val="auto"/>
        </w:rPr>
      </w:pPr>
    </w:p>
    <w:p>
      <w:pPr>
        <w:ind w:left="1700" w:right="459" w:hanging="325"/>
        <w:spacing w:after="0" w:line="281" w:lineRule="auto"/>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shareholder meetings, provide an advance written notice procedure with respect to shareholder nomination for directors and bringing other business; and</w:t>
      </w:r>
    </w:p>
    <w:p>
      <w:pPr>
        <w:spacing w:after="0" w:line="52" w:lineRule="exact"/>
        <w:rPr>
          <w:rFonts w:ascii="Times New Roman" w:cs="Times New Roman" w:eastAsia="Times New Roman" w:hAnsi="Times New Roman"/>
          <w:sz w:val="14"/>
          <w:szCs w:val="14"/>
          <w:color w:val="auto"/>
        </w:rPr>
      </w:pPr>
    </w:p>
    <w:p>
      <w:pPr>
        <w:ind w:left="1700" w:right="419" w:hanging="325"/>
        <w:spacing w:after="0" w:line="281" w:lineRule="auto"/>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directors may fill any vacancies on our board of directors, including newly created board seats resulting from an increase in the authorized number of directors and vacancies resulting from death, retirement, resignation, or removal.</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76" w:lineRule="exact"/>
        <w:rPr>
          <w:sz w:val="20"/>
          <w:szCs w:val="20"/>
          <w:color w:val="auto"/>
        </w:rPr>
      </w:pPr>
    </w:p>
    <w:p>
      <w:pPr>
        <w:ind w:left="1380" w:right="399" w:firstLine="341"/>
        <w:spacing w:after="0" w:line="281"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preferred stock, depositary shares, purchase contracts, warrants or units that may be offered pursuant to this prospectus.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6" w:lineRule="exact"/>
        <w:rPr>
          <w:sz w:val="20"/>
          <w:szCs w:val="20"/>
          <w:color w:val="auto"/>
        </w:rPr>
      </w:pPr>
    </w:p>
    <w:p>
      <w:pPr>
        <w:ind w:left="1380" w:right="299" w:firstLine="341"/>
        <w:spacing w:after="0" w:line="254" w:lineRule="auto"/>
        <w:rPr>
          <w:sz w:val="20"/>
          <w:szCs w:val="20"/>
          <w:color w:val="auto"/>
        </w:rPr>
      </w:pPr>
      <w:r>
        <w:rPr>
          <w:rFonts w:ascii="Times New Roman" w:cs="Times New Roman" w:eastAsia="Times New Roman" w:hAnsi="Times New Roman"/>
          <w:sz w:val="14"/>
          <w:szCs w:val="14"/>
          <w:color w:val="auto"/>
        </w:rPr>
        <w:t>We may sell the offered securities through agents, through underwriters or dealers, directly to one or more purchasers, through a combination of any of these methods of sale or through any other methods described in a prospectus supplement. 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dealers may be paid compensation for offering and selling the securities. That compensation may be in the form of discounts, concessions or commissions to be received from us or from the purchasers of the securities. We will identify the specific plan of distribution, including any underwriters, dealers, agents or direct purchasers and their compensation in a prospectus supplement.</w:t>
      </w:r>
    </w:p>
    <w:p>
      <w:pPr>
        <w:spacing w:after="0" w:line="144" w:lineRule="exact"/>
        <w:rPr>
          <w:sz w:val="20"/>
          <w:szCs w:val="20"/>
          <w:color w:val="auto"/>
        </w:rPr>
      </w:pPr>
    </w:p>
    <w:p>
      <w:pPr>
        <w:ind w:left="1380" w:right="799" w:firstLine="341"/>
        <w:spacing w:after="0" w:line="281" w:lineRule="auto"/>
        <w:rPr>
          <w:sz w:val="20"/>
          <w:szCs w:val="20"/>
          <w:color w:val="auto"/>
        </w:rPr>
      </w:pPr>
      <w:r>
        <w:rPr>
          <w:rFonts w:ascii="Times New Roman" w:cs="Times New Roman" w:eastAsia="Times New Roman" w:hAnsi="Times New Roman"/>
          <w:sz w:val="14"/>
          <w:szCs w:val="14"/>
          <w:color w:val="auto"/>
        </w:rPr>
        <w:t>The applicable prospectus supplement will set forth whether or not an underwriter may engage in stabilizing transactions, over-allotment transactions, syndicate covering transactions and penalty bids.</w:t>
      </w:r>
    </w:p>
    <w:p>
      <w:pPr>
        <w:spacing w:after="0" w:line="125" w:lineRule="exact"/>
        <w:rPr>
          <w:sz w:val="20"/>
          <w:szCs w:val="20"/>
          <w:color w:val="auto"/>
        </w:rPr>
      </w:pPr>
    </w:p>
    <w:p>
      <w:pPr>
        <w:jc w:val="both"/>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In compliance with the guidelines of the Financial Industry Regulatory Authority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jc w:val="both"/>
        <w:ind w:left="1380" w:right="359" w:firstLine="341"/>
        <w:spacing w:after="0" w:line="260"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Gibson, Dunn &amp; Crutcher LLP will pass upon the validity of any securities issued under this prospectus as to matters governed by the laws of the State of New York; Barnes &amp; Thornburg LLP will pass upon the validity of any securities issued under this prospectus as to all matters governed by the laws of the State of Indiana. Any underwriters will be represented by their own legal counsel.</w:t>
      </w: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6" w:lineRule="exact"/>
        <w:rPr>
          <w:sz w:val="20"/>
          <w:szCs w:val="20"/>
          <w:color w:val="auto"/>
        </w:rPr>
      </w:pPr>
    </w:p>
    <w:p>
      <w:pPr>
        <w:ind w:left="1380" w:right="399" w:firstLine="341"/>
        <w:spacing w:after="0" w:line="260" w:lineRule="auto"/>
        <w:rPr>
          <w:sz w:val="20"/>
          <w:szCs w:val="20"/>
          <w:color w:val="auto"/>
        </w:rPr>
      </w:pPr>
      <w:r>
        <w:rPr>
          <w:rFonts w:ascii="Times New Roman" w:cs="Times New Roman" w:eastAsia="Times New Roman" w:hAnsi="Times New Roman"/>
          <w:sz w:val="14"/>
          <w:szCs w:val="14"/>
          <w:color w:val="auto"/>
        </w:rPr>
        <w:t>The consolidated financial statements of Xylem Inc. incorporated by reference in this Prospectus, and the effectiveness of Xylem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40" w:lineRule="exact"/>
        <w:rPr>
          <w:sz w:val="20"/>
          <w:szCs w:val="20"/>
          <w:color w:val="auto"/>
        </w:rPr>
      </w:pPr>
    </w:p>
    <w:p>
      <w:pPr>
        <w:ind w:left="1380" w:right="339" w:firstLine="341"/>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of Evoqua Water Technologies Corp. appearing in Evoqua Water Technologies Corp.’s Annual Report (Form 10-K) for the year ended September 30, 2022, and the effectiveness of Evoqua Water Technologies Corp.’s internal control over financial reporting as of September 30, 2022 (excluding the internal control over financial reporting of the Mar Cor Business and Smith Engineering), have been audited by Ernst &amp; Young LLP, independent registered public accounting firm, as set forth in its reports thereon, which as to the report on the effectiveness of Evoqua Water Technologies Corp.’s internal control over financial reporting contains an explanatory paragraph describing the above referenced exclusion of the Mar Cor Business and Smith Engineering from the scope of such firm’s audit of internal control over financial reporting included therein, and incorporated herein by reference. Such financial statements have been incorporated herein by reference in reliance upon such reports given on the authority of such firm as experts in accounting and auditing.</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187325</wp:posOffset>
            </wp:positionV>
            <wp:extent cx="5422265"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5422265" cy="13335"/>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227330</wp:posOffset>
            </wp:positionV>
            <wp:extent cx="542226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54222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33"/>
          <w:szCs w:val="33"/>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634365</wp:posOffset>
            </wp:positionV>
            <wp:extent cx="1156335" cy="4584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115633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33"/>
          <w:szCs w:val="33"/>
          <w:b w:val="1"/>
          <w:bCs w:val="1"/>
          <w:color w:val="auto"/>
        </w:rPr>
        <w:t>Xylem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$500,000,000 5.200% Senior Notes due 2033</w:t>
      </w:r>
    </w:p>
    <w:p>
      <w:pPr>
        <w:spacing w:after="0" w:line="39"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22"/>
          <w:szCs w:val="22"/>
          <w:b w:val="1"/>
          <w:bCs w:val="1"/>
          <w:color w:val="2399BF"/>
        </w:rPr>
        <w:t>$500,000,000 5.450% Senior Blue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663575</wp:posOffset>
            </wp:positionV>
            <wp:extent cx="11430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190500</wp:posOffset>
            </wp:positionV>
            <wp:extent cx="11430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ectPr>
          <w:pgSz w:w="11900" w:h="16838" w:orient="portrait"/>
          <w:cols w:equalWidth="0" w:num="1">
            <w:col w:w="10159"/>
          </w:cols>
          <w:pgMar w:left="300" w:top="384" w:right="1440" w:bottom="1440" w:gutter="0" w:footer="0" w:header="0"/>
        </w:sectPr>
      </w:pPr>
    </w:p>
    <w:p>
      <w:pPr>
        <w:spacing w:after="0" w:line="1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BNP PARIBAS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Citigroup</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      ING 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J.P. Morgan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Wells Fargo Securities</w:t>
      </w:r>
    </w:p>
    <w:p>
      <w:pPr>
        <w:spacing w:after="0" w:line="185" w:lineRule="exact"/>
        <w:rPr>
          <w:sz w:val="20"/>
          <w:szCs w:val="20"/>
          <w:color w:val="auto"/>
        </w:rPr>
      </w:pPr>
    </w:p>
    <w:p>
      <w:pPr>
        <w:sectPr>
          <w:pgSz w:w="11900" w:h="16838" w:orient="portrait"/>
          <w:cols w:equalWidth="0" w:num="5">
            <w:col w:w="2500" w:space="720"/>
            <w:col w:w="720" w:space="720"/>
            <w:col w:w="960" w:space="720"/>
            <w:col w:w="1520" w:space="720"/>
            <w:col w:w="1579"/>
          </w:cols>
          <w:pgMar w:left="300" w:top="384" w:right="1440"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ectPr>
          <w:pgSz w:w="11900" w:h="16838" w:orient="portrait"/>
          <w:cols w:equalWidth="0" w:num="1">
            <w:col w:w="10159"/>
          </w:cols>
          <w:pgMar w:left="300" w:top="384" w:right="1440" w:bottom="1440" w:gutter="0" w:footer="0" w:header="0"/>
          <w:type w:val="continuous"/>
        </w:sectPr>
      </w:pPr>
    </w:p>
    <w:p>
      <w:pPr>
        <w:spacing w:after="0" w:line="19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3"/>
          <w:szCs w:val="13"/>
          <w:b w:val="1"/>
          <w:bCs w:val="1"/>
          <w:color w:val="auto"/>
        </w:rPr>
        <w:t>Deutsche Bank Securities</w:t>
      </w:r>
    </w:p>
    <w:p>
      <w:pPr>
        <w:spacing w:after="0" w:line="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ANZ Securities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SEB</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TD Securities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color w:val="auto"/>
        </w:rPr>
        <w:t>US Bancorp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Siebert Williams Shank</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Academy Securities</w:t>
      </w:r>
    </w:p>
    <w:p>
      <w:pPr>
        <w:spacing w:after="0" w:line="200" w:lineRule="exact"/>
        <w:rPr>
          <w:sz w:val="20"/>
          <w:szCs w:val="20"/>
          <w:color w:val="auto"/>
        </w:rPr>
      </w:pPr>
    </w:p>
    <w:p>
      <w:pPr>
        <w:sectPr>
          <w:pgSz w:w="11900" w:h="16838" w:orient="portrait"/>
          <w:cols w:equalWidth="0" w:num="5">
            <w:col w:w="3980" w:space="300"/>
            <w:col w:w="260" w:space="580"/>
            <w:col w:w="960" w:space="720"/>
            <w:col w:w="1600" w:space="340"/>
            <w:col w:w="1419"/>
          </w:cols>
          <w:pgMar w:left="300" w:top="3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513080</wp:posOffset>
            </wp:positionV>
            <wp:extent cx="542226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559435</wp:posOffset>
            </wp:positionV>
            <wp:extent cx="5422265"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5422265" cy="1333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type w:val="continuous"/>
        </w:sectPr>
      </w:pPr>
    </w:p>
    <w:bookmarkStart w:id="71" w:name="page72"/>
    <w:bookmarkEnd w:id="71"/>
    <w:p>
      <w:pPr>
        <w:spacing w:after="0" w:line="35"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Xylem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510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680" w:type="dxa"/>
            <w:vAlign w:val="bottom"/>
            <w:gridSpan w:val="2"/>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5"/>
              </w:rPr>
              <w:t>Security</w:t>
            </w: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60" w:type="dxa"/>
            <w:vAlign w:val="bottom"/>
            <w:shd w:val="clear" w:color="auto" w:fill="9ADAF6"/>
          </w:tcPr>
          <w:p>
            <w:pPr>
              <w:jc w:val="right"/>
              <w:ind w:right="7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58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6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center"/>
              <w:ind w:right="76"/>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7"/>
              </w:rPr>
              <w:t>5.200%</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Senior</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4"/>
                <w:szCs w:val="14"/>
                <w:color w:val="auto"/>
              </w:rPr>
            </w:pPr>
          </w:p>
        </w:tc>
        <w:tc>
          <w:tcPr>
            <w:tcW w:w="5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14"/>
                <w:szCs w:val="14"/>
                <w:color w:val="auto"/>
              </w:rPr>
            </w:pPr>
          </w:p>
        </w:tc>
        <w:tc>
          <w:tcPr>
            <w:tcW w:w="96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7"/>
              </w:rPr>
              <w:t>500,000,000</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$ 68,917.42</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499,040,000.00</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vMerge w:val="continue"/>
            <w:shd w:val="clear" w:color="auto" w:fill="E7E7E2"/>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2033</w:t>
            </w: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w w:val="97"/>
              </w:rPr>
              <w:t>5.450%</w:t>
            </w: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Senior</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5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500,000,000</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$ 69,034.12</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499,885,000.00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due</w:t>
            </w: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2036</w:t>
            </w: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$ 137,951.54</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998,925,000.00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right"/>
              <w:spacing w:after="0"/>
              <w:rPr>
                <w:sz w:val="20"/>
                <w:szCs w:val="20"/>
                <w:color w:val="auto"/>
              </w:rPr>
            </w:pPr>
            <w:r>
              <w:rPr>
                <w:rFonts w:ascii="Arial" w:cs="Arial" w:eastAsia="Arial" w:hAnsi="Arial"/>
                <w:sz w:val="17"/>
                <w:szCs w:val="17"/>
                <w:color w:val="auto"/>
                <w:w w:val="96"/>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$ 137,951.54</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8" w:lineRule="exact"/>
        <w:rPr>
          <w:sz w:val="20"/>
          <w:szCs w:val="20"/>
          <w:color w:val="auto"/>
        </w:rPr>
      </w:pPr>
    </w:p>
    <w:p>
      <w:pPr>
        <w:jc w:val="both"/>
        <w:ind w:left="220" w:right="340" w:hanging="185"/>
        <w:spacing w:after="0" w:line="227" w:lineRule="auto"/>
        <w:tabs>
          <w:tab w:leader="none" w:pos="220" w:val="left"/>
        </w:tabs>
        <w:numPr>
          <w:ilvl w:val="0"/>
          <w:numId w:val="42"/>
        </w:numPr>
        <w:rPr>
          <w:rFonts w:ascii="Arial" w:cs="Arial" w:eastAsia="Arial" w:hAnsi="Arial"/>
          <w:sz w:val="21"/>
          <w:szCs w:val="21"/>
          <w:color w:val="auto"/>
          <w:vertAlign w:val="superscript"/>
        </w:rPr>
      </w:pPr>
      <w:r>
        <w:rPr>
          <w:rFonts w:ascii="Arial" w:cs="Arial" w:eastAsia="Arial" w:hAnsi="Arial"/>
          <w:sz w:val="17"/>
          <w:szCs w:val="17"/>
          <w:color w:val="auto"/>
        </w:rPr>
        <w:t>(1) The filing fee is calculated in accordance with Rule 457(o) under the Securities Act of 1933, as amended. (2) Pursuant to Rule 415(a)(6) under the Securities Act, the Registrants filed the Registration Statement on Form S-3ASR (File No. 333-273653) (the "Current Registration Statement"), which became automatically effective on August 3, 20223.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wp:posOffset>
            </wp:positionV>
            <wp:extent cx="71488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9" w:lineRule="exact"/>
        <w:rPr>
          <w:sz w:val="20"/>
          <w:szCs w:val="20"/>
          <w:color w:val="auto"/>
        </w:rPr>
      </w:pPr>
    </w:p>
    <w:p>
      <w:pPr>
        <w:jc w:val="both"/>
        <w:ind w:left="220" w:right="340" w:hanging="185"/>
        <w:spacing w:after="0" w:line="227" w:lineRule="auto"/>
        <w:tabs>
          <w:tab w:leader="none" w:pos="220" w:val="left"/>
        </w:tabs>
        <w:numPr>
          <w:ilvl w:val="0"/>
          <w:numId w:val="43"/>
        </w:numPr>
        <w:rPr>
          <w:rFonts w:ascii="Arial" w:cs="Arial" w:eastAsia="Arial" w:hAnsi="Arial"/>
          <w:sz w:val="21"/>
          <w:szCs w:val="21"/>
          <w:color w:val="auto"/>
          <w:vertAlign w:val="superscript"/>
        </w:rPr>
      </w:pPr>
      <w:r>
        <w:rPr>
          <w:rFonts w:ascii="Arial" w:cs="Arial" w:eastAsia="Arial" w:hAnsi="Arial"/>
          <w:sz w:val="17"/>
          <w:szCs w:val="17"/>
          <w:color w:val="auto"/>
        </w:rPr>
        <w:t>(1) The filing fee is calculated in accordance with Rule 457(o) under the Securities Act of 1933, as amended. (2) Pursuant to Rule 415(a)(6) under the Securities Act, the Registrants filed the Registration Statement on Form S-3ASR (File No. 333-273653) (the "Current Registration Statement"), which became automatically effective on August 3, 20223.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wp:posOffset>
            </wp:positionV>
            <wp:extent cx="71488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-992505</wp:posOffset>
            </wp:positionV>
            <wp:extent cx="12700" cy="2371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12700" cy="2371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-992505</wp:posOffset>
            </wp:positionV>
            <wp:extent cx="12700" cy="2371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12700" cy="237172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095" cy="2527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10095" cy="2527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095" cy="2527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10095" cy="2527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4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w w:val="97"/>
              </w:rPr>
              <w:t>Table 3: Combined Prospectuses</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5"/>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ind w:right="20"/>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280"/>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80" w:type="dxa"/>
            <w:vAlign w:val="bottom"/>
            <w:gridSpan w:val="5"/>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7"/>
          </w:tcPr>
          <w:p>
            <w:pPr>
              <w:ind w:left="40"/>
              <w:spacing w:after="0"/>
              <w:rPr>
                <w:sz w:val="20"/>
                <w:szCs w:val="20"/>
                <w:color w:val="auto"/>
              </w:rPr>
            </w:pPr>
            <w:r>
              <w:rPr>
                <w:rFonts w:ascii="Arial" w:cs="Arial" w:eastAsia="Arial" w:hAnsi="Arial"/>
                <w:sz w:val="17"/>
                <w:szCs w:val="17"/>
                <w:b w:val="1"/>
                <w:bCs w:val="1"/>
                <w:color w:val="auto"/>
                <w:w w:val="99"/>
              </w:rPr>
              <w:t>Narrative Disclosure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73" w:orient="portrait"/>
          <w:cols w:equalWidth="0" w:num="1">
            <w:col w:w="11360"/>
          </w:cols>
          <w:pgMar w:left="300" w:top="142" w:right="239" w:bottom="0" w:gutter="0" w:footer="0" w:header="0"/>
        </w:sectPr>
      </w:pPr>
    </w:p>
    <w:bookmarkStart w:id="72" w:name="page73"/>
    <w:bookmarkEnd w:id="72"/>
    <w:p>
      <w:pPr>
        <w:jc w:val="center"/>
        <w:spacing w:after="0" w:line="261" w:lineRule="auto"/>
        <w:rPr>
          <w:sz w:val="20"/>
          <w:szCs w:val="20"/>
          <w:color w:val="auto"/>
        </w:rPr>
      </w:pPr>
      <w:r>
        <w:rPr>
          <w:rFonts w:ascii="Arial" w:cs="Arial" w:eastAsia="Arial" w:hAnsi="Arial"/>
          <w:sz w:val="17"/>
          <w:szCs w:val="17"/>
          <w:color w:val="auto"/>
        </w:rPr>
        <w:t>The maximum aggregate offering price of the securities to which the prospectus relates is $998,925,000.00. The prospectus is a final prospectus for the related offering.</w:t>
      </w:r>
    </w:p>
    <w:sectPr>
      <w:pgSz w:w="11900" w:h="16838" w:orient="portrait"/>
      <w:cols w:equalWidth="0" w:num="1">
        <w:col w:w="11200"/>
      </w:cols>
      <w:pgMar w:left="340" w:top="1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lvl w:ilvl="1">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bullet"/>
      <w:start w:val="1"/>
    </w:lvl>
  </w:abstractNum>
  <w:abstractNum w:abstractNumId="42">
    <w:nsid w:val="2A487CB0"/>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jpe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jpe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6" Type="http://schemas.openxmlformats.org/officeDocument/2006/relationships/hyperlink" Target="http://www.sec.gov/ix?doc=/Archives/edgar/data/1524472/000152447226000012/xyl-20251231.htm" TargetMode="External"/><Relationship Id="rId17" Type="http://schemas.openxmlformats.org/officeDocument/2006/relationships/hyperlink" Target="http://www.sec.gov/ix?doc=/Archives/edgar/data/1524472/000110465926036678/xyl-20260514xdef14a.htm" TargetMode="External"/><Relationship Id="rId18" Type="http://schemas.openxmlformats.org/officeDocument/2006/relationships/hyperlink" Target="http://www.sec.gov/ix?doc=/Archives/edgar/data/1524472/000152447226000068/xyl-20260331.htm" TargetMode="External"/><Relationship Id="rId19" Type="http://schemas.openxmlformats.org/officeDocument/2006/relationships/hyperlink" Target="http://www.sec.gov/ix?doc=/Archives/edgar/data/1524472/000152447226000014/xyl-20260225.htm" TargetMode="External"/><Relationship Id="rId20" Type="http://schemas.openxmlformats.org/officeDocument/2006/relationships/hyperlink" Target="http://www.sec.gov/ix?doc=/Archives/edgar/data/1524472/000152447226000091/xyl-20260514.htm" TargetMode="External"/><Relationship Id="rId66" Type="http://schemas.openxmlformats.org/officeDocument/2006/relationships/hyperlink" Target="http://www.sec.gov/Archives/edgar/data/1524472/000152447223000009/xyl-20221231.htm" TargetMode="External"/><Relationship Id="rId67" Type="http://schemas.openxmlformats.org/officeDocument/2006/relationships/hyperlink" Target="http://www.sec.gov/Archives/edgar/data/1524472/000156459023005209/xyl-def14a_20230518.htm" TargetMode="External"/><Relationship Id="rId68" Type="http://schemas.openxmlformats.org/officeDocument/2006/relationships/hyperlink" Target="http://www.sec.gov/ix?doc=/Archives/edgar/data/1524472/000152447223000018/xyl-20230331.htm" TargetMode="External"/><Relationship Id="rId69" Type="http://schemas.openxmlformats.org/officeDocument/2006/relationships/hyperlink" Target="http://www.sec.gov/Archives/edgar/data/1524472/000119312523012563/d441004d8k.htm" TargetMode="External"/><Relationship Id="rId70" Type="http://schemas.openxmlformats.org/officeDocument/2006/relationships/hyperlink" Target="http://www.sec.gov/Archives/edgar/data/1524472/000152447223000012/xyl-20230224.htm" TargetMode="External"/><Relationship Id="rId71" Type="http://schemas.openxmlformats.org/officeDocument/2006/relationships/hyperlink" Target="http://www.sec.gov/ix?doc=/Archives/edgar/data/1524472/000119312523142138/d355851d8k.htm" TargetMode="External"/><Relationship Id="rId72" Type="http://schemas.openxmlformats.org/officeDocument/2006/relationships/hyperlink" Target="http://www.sec.gov/ix?doc=/Archives/edgar/data/1524472/000119312523152550/d506226d8k.htm" TargetMode="External"/><Relationship Id="rId73" Type="http://schemas.openxmlformats.org/officeDocument/2006/relationships/hyperlink" Target="http://www.sec.gov/ix?doc=/Archives/edgar/data/0001524472/000119312523202870/d510680d8ka.htm" TargetMode="External"/><Relationship Id="rId74" Type="http://schemas.openxmlformats.org/officeDocument/2006/relationships/hyperlink" Target="http://www.sec.gov/Archives/edgar/data/1524472/000152447223000009/xyl12312022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2026-05-22T05:04:15Z</dcterms:created>
  <dcterms:modified xsi:type="dcterms:W3CDTF">2026-05-22T05:04:15Z</dcterms:modified>
</cp:coreProperties>
</file>